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August 8, 2023</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XERIS BIOPHARMA HOLDINGS, INC.</w:t>
      </w:r>
    </w:p>
    <w:p>
      <w:pPr>
        <w:spacing w:after="0" w:line="291"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4940" w:type="dxa"/>
            <w:vAlign w:val="bottom"/>
          </w:tcPr>
          <w:p>
            <w:pPr>
              <w:jc w:val="center"/>
              <w:ind w:right="94"/>
              <w:spacing w:after="0"/>
              <w:rPr>
                <w:sz w:val="20"/>
                <w:szCs w:val="20"/>
                <w:color w:val="auto"/>
              </w:rPr>
            </w:pPr>
            <w:r>
              <w:rPr>
                <w:rFonts w:ascii="Arial" w:cs="Arial" w:eastAsia="Arial" w:hAnsi="Arial"/>
                <w:sz w:val="18"/>
                <w:szCs w:val="18"/>
                <w:color w:val="auto"/>
                <w:w w:val="90"/>
              </w:rPr>
              <w:t>(Exact name of registrant as specified in its charter)</w:t>
            </w:r>
          </w:p>
        </w:tc>
        <w:tc>
          <w:tcPr>
            <w:tcW w:w="1760" w:type="dxa"/>
            <w:vAlign w:val="bottom"/>
          </w:tcPr>
          <w:p>
            <w:pPr>
              <w:spacing w:after="0"/>
              <w:rPr>
                <w:sz w:val="20"/>
                <w:szCs w:val="20"/>
                <w:color w:val="auto"/>
              </w:rPr>
            </w:pPr>
          </w:p>
        </w:tc>
      </w:tr>
      <w:tr>
        <w:trPr>
          <w:trHeight w:val="257"/>
        </w:trPr>
        <w:tc>
          <w:tcPr>
            <w:tcW w:w="2260" w:type="dxa"/>
            <w:vAlign w:val="bottom"/>
          </w:tcPr>
          <w:p>
            <w:pPr>
              <w:jc w:val="center"/>
              <w:ind w:right="316"/>
              <w:spacing w:after="0"/>
              <w:rPr>
                <w:sz w:val="20"/>
                <w:szCs w:val="20"/>
                <w:color w:val="auto"/>
              </w:rPr>
            </w:pPr>
            <w:r>
              <w:rPr>
                <w:rFonts w:ascii="Arial" w:cs="Arial" w:eastAsia="Arial" w:hAnsi="Arial"/>
                <w:sz w:val="18"/>
                <w:szCs w:val="18"/>
                <w:b w:val="1"/>
                <w:bCs w:val="1"/>
                <w:color w:val="auto"/>
                <w:w w:val="93"/>
              </w:rPr>
              <w:t>Delaware</w:t>
            </w:r>
          </w:p>
        </w:tc>
        <w:tc>
          <w:tcPr>
            <w:tcW w:w="4940" w:type="dxa"/>
            <w:vAlign w:val="bottom"/>
          </w:tcPr>
          <w:p>
            <w:pPr>
              <w:jc w:val="right"/>
              <w:ind w:right="2074"/>
              <w:spacing w:after="0"/>
              <w:rPr>
                <w:sz w:val="20"/>
                <w:szCs w:val="20"/>
                <w:color w:val="auto"/>
              </w:rPr>
            </w:pPr>
            <w:r>
              <w:rPr>
                <w:rFonts w:ascii="Arial" w:cs="Arial" w:eastAsia="Arial" w:hAnsi="Arial"/>
                <w:sz w:val="18"/>
                <w:szCs w:val="18"/>
                <w:b w:val="1"/>
                <w:bCs w:val="1"/>
                <w:color w:val="auto"/>
              </w:rPr>
              <w:t>001-40880</w:t>
            </w:r>
          </w:p>
        </w:tc>
        <w:tc>
          <w:tcPr>
            <w:tcW w:w="1760" w:type="dxa"/>
            <w:vAlign w:val="bottom"/>
          </w:tcPr>
          <w:p>
            <w:pPr>
              <w:jc w:val="center"/>
              <w:ind w:left="456"/>
              <w:spacing w:after="0"/>
              <w:rPr>
                <w:sz w:val="20"/>
                <w:szCs w:val="20"/>
                <w:color w:val="auto"/>
              </w:rPr>
            </w:pPr>
            <w:r>
              <w:rPr>
                <w:rFonts w:ascii="Arial" w:cs="Arial" w:eastAsia="Arial" w:hAnsi="Arial"/>
                <w:sz w:val="18"/>
                <w:szCs w:val="18"/>
                <w:b w:val="1"/>
                <w:bCs w:val="1"/>
                <w:color w:val="auto"/>
                <w:w w:val="89"/>
              </w:rPr>
              <w:t>87-1082097</w:t>
            </w:r>
          </w:p>
        </w:tc>
      </w:tr>
      <w:tr>
        <w:trPr>
          <w:trHeight w:val="166"/>
        </w:trPr>
        <w:tc>
          <w:tcPr>
            <w:tcW w:w="2260" w:type="dxa"/>
            <w:vAlign w:val="bottom"/>
          </w:tcPr>
          <w:p>
            <w:pPr>
              <w:jc w:val="center"/>
              <w:ind w:right="296"/>
              <w:spacing w:after="0" w:line="166" w:lineRule="exact"/>
              <w:rPr>
                <w:sz w:val="20"/>
                <w:szCs w:val="20"/>
                <w:color w:val="auto"/>
              </w:rPr>
            </w:pPr>
            <w:r>
              <w:rPr>
                <w:rFonts w:ascii="Arial" w:cs="Arial" w:eastAsia="Arial" w:hAnsi="Arial"/>
                <w:sz w:val="16"/>
                <w:szCs w:val="16"/>
                <w:color w:val="auto"/>
                <w:w w:val="93"/>
              </w:rPr>
              <w:t>(State or other jurisdiction of</w:t>
            </w:r>
          </w:p>
        </w:tc>
        <w:tc>
          <w:tcPr>
            <w:tcW w:w="4940" w:type="dxa"/>
            <w:vAlign w:val="bottom"/>
          </w:tcPr>
          <w:p>
            <w:pPr>
              <w:jc w:val="center"/>
              <w:ind w:right="94"/>
              <w:spacing w:after="0" w:line="166" w:lineRule="exact"/>
              <w:rPr>
                <w:sz w:val="20"/>
                <w:szCs w:val="20"/>
                <w:color w:val="auto"/>
              </w:rPr>
            </w:pPr>
            <w:r>
              <w:rPr>
                <w:rFonts w:ascii="Arial" w:cs="Arial" w:eastAsia="Arial" w:hAnsi="Arial"/>
                <w:sz w:val="16"/>
                <w:szCs w:val="16"/>
                <w:color w:val="auto"/>
                <w:w w:val="94"/>
              </w:rPr>
              <w:t>(Commission</w:t>
            </w:r>
          </w:p>
        </w:tc>
        <w:tc>
          <w:tcPr>
            <w:tcW w:w="1760" w:type="dxa"/>
            <w:vAlign w:val="bottom"/>
          </w:tcPr>
          <w:p>
            <w:pPr>
              <w:jc w:val="center"/>
              <w:ind w:left="456"/>
              <w:spacing w:after="0" w:line="166" w:lineRule="exact"/>
              <w:rPr>
                <w:sz w:val="20"/>
                <w:szCs w:val="20"/>
                <w:color w:val="auto"/>
              </w:rPr>
            </w:pPr>
            <w:r>
              <w:rPr>
                <w:rFonts w:ascii="Arial" w:cs="Arial" w:eastAsia="Arial" w:hAnsi="Arial"/>
                <w:sz w:val="16"/>
                <w:szCs w:val="16"/>
                <w:color w:val="auto"/>
                <w:w w:val="93"/>
              </w:rPr>
              <w:t>(I.R.S. Employer</w:t>
            </w:r>
          </w:p>
        </w:tc>
      </w:tr>
      <w:tr>
        <w:trPr>
          <w:trHeight w:val="206"/>
        </w:trPr>
        <w:tc>
          <w:tcPr>
            <w:tcW w:w="2260" w:type="dxa"/>
            <w:vAlign w:val="bottom"/>
          </w:tcPr>
          <w:p>
            <w:pPr>
              <w:jc w:val="center"/>
              <w:ind w:right="316"/>
              <w:spacing w:after="0"/>
              <w:rPr>
                <w:sz w:val="20"/>
                <w:szCs w:val="20"/>
                <w:color w:val="auto"/>
              </w:rPr>
            </w:pPr>
            <w:r>
              <w:rPr>
                <w:rFonts w:ascii="Arial" w:cs="Arial" w:eastAsia="Arial" w:hAnsi="Arial"/>
                <w:sz w:val="16"/>
                <w:szCs w:val="16"/>
                <w:color w:val="auto"/>
                <w:w w:val="96"/>
              </w:rPr>
              <w:t>incorporation)</w:t>
            </w:r>
          </w:p>
        </w:tc>
        <w:tc>
          <w:tcPr>
            <w:tcW w:w="4940" w:type="dxa"/>
            <w:vAlign w:val="bottom"/>
          </w:tcPr>
          <w:p>
            <w:pPr>
              <w:jc w:val="center"/>
              <w:ind w:right="94"/>
              <w:spacing w:after="0"/>
              <w:rPr>
                <w:sz w:val="20"/>
                <w:szCs w:val="20"/>
                <w:color w:val="auto"/>
              </w:rPr>
            </w:pPr>
            <w:r>
              <w:rPr>
                <w:rFonts w:ascii="Arial" w:cs="Arial" w:eastAsia="Arial" w:hAnsi="Arial"/>
                <w:sz w:val="16"/>
                <w:szCs w:val="16"/>
                <w:color w:val="auto"/>
                <w:w w:val="95"/>
              </w:rPr>
              <w:t>File Number)</w:t>
            </w:r>
          </w:p>
        </w:tc>
        <w:tc>
          <w:tcPr>
            <w:tcW w:w="1760" w:type="dxa"/>
            <w:vAlign w:val="bottom"/>
          </w:tcPr>
          <w:p>
            <w:pPr>
              <w:jc w:val="center"/>
              <w:ind w:left="476"/>
              <w:spacing w:after="0"/>
              <w:rPr>
                <w:sz w:val="20"/>
                <w:szCs w:val="20"/>
                <w:color w:val="auto"/>
              </w:rPr>
            </w:pPr>
            <w:r>
              <w:rPr>
                <w:rFonts w:ascii="Arial" w:cs="Arial" w:eastAsia="Arial" w:hAnsi="Arial"/>
                <w:sz w:val="16"/>
                <w:szCs w:val="16"/>
                <w:color w:val="auto"/>
                <w:w w:val="96"/>
              </w:rPr>
              <w:t>Identification No.)</w:t>
            </w:r>
          </w:p>
        </w:tc>
      </w:tr>
      <w:tr>
        <w:trPr>
          <w:trHeight w:val="541"/>
        </w:trPr>
        <w:tc>
          <w:tcPr>
            <w:tcW w:w="2260" w:type="dxa"/>
            <w:vAlign w:val="bottom"/>
          </w:tcPr>
          <w:p>
            <w:pPr>
              <w:spacing w:after="0"/>
              <w:rPr>
                <w:sz w:val="24"/>
                <w:szCs w:val="24"/>
                <w:color w:val="auto"/>
              </w:rPr>
            </w:pPr>
          </w:p>
        </w:tc>
        <w:tc>
          <w:tcPr>
            <w:tcW w:w="494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1375 West Fulton Street, Suite 1300</w:t>
            </w:r>
          </w:p>
        </w:tc>
        <w:tc>
          <w:tcPr>
            <w:tcW w:w="1760" w:type="dxa"/>
            <w:vAlign w:val="bottom"/>
          </w:tcPr>
          <w:p>
            <w:pPr>
              <w:spacing w:after="0"/>
              <w:rPr>
                <w:sz w:val="24"/>
                <w:szCs w:val="24"/>
                <w:color w:val="auto"/>
              </w:rPr>
            </w:pPr>
          </w:p>
        </w:tc>
      </w:tr>
      <w:tr>
        <w:trPr>
          <w:trHeight w:val="224"/>
        </w:trPr>
        <w:tc>
          <w:tcPr>
            <w:tcW w:w="2260" w:type="dxa"/>
            <w:vAlign w:val="bottom"/>
          </w:tcPr>
          <w:p>
            <w:pPr>
              <w:spacing w:after="0"/>
              <w:rPr>
                <w:sz w:val="19"/>
                <w:szCs w:val="19"/>
                <w:color w:val="auto"/>
              </w:rPr>
            </w:pPr>
          </w:p>
        </w:tc>
        <w:tc>
          <w:tcPr>
            <w:tcW w:w="4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Chicago, Illinois 60607</w:t>
            </w:r>
          </w:p>
        </w:tc>
        <w:tc>
          <w:tcPr>
            <w:tcW w:w="1760" w:type="dxa"/>
            <w:vAlign w:val="bottom"/>
          </w:tcPr>
          <w:p>
            <w:pPr>
              <w:spacing w:after="0"/>
              <w:rPr>
                <w:sz w:val="19"/>
                <w:szCs w:val="19"/>
                <w:color w:val="auto"/>
              </w:rPr>
            </w:pPr>
          </w:p>
        </w:tc>
      </w:tr>
      <w:tr>
        <w:trPr>
          <w:trHeight w:val="206"/>
        </w:trPr>
        <w:tc>
          <w:tcPr>
            <w:tcW w:w="2260" w:type="dxa"/>
            <w:vAlign w:val="bottom"/>
          </w:tcPr>
          <w:p>
            <w:pPr>
              <w:spacing w:after="0"/>
              <w:rPr>
                <w:sz w:val="17"/>
                <w:szCs w:val="17"/>
                <w:color w:val="auto"/>
              </w:rPr>
            </w:pPr>
          </w:p>
        </w:tc>
        <w:tc>
          <w:tcPr>
            <w:tcW w:w="4940" w:type="dxa"/>
            <w:vAlign w:val="bottom"/>
          </w:tcPr>
          <w:p>
            <w:pPr>
              <w:jc w:val="center"/>
              <w:ind w:right="94"/>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1760" w:type="dxa"/>
            <w:vAlign w:val="bottom"/>
          </w:tcPr>
          <w:p>
            <w:pPr>
              <w:spacing w:after="0"/>
              <w:rPr>
                <w:sz w:val="17"/>
                <w:szCs w:val="17"/>
                <w:color w:val="auto"/>
              </w:rPr>
            </w:pPr>
          </w:p>
        </w:tc>
      </w:tr>
      <w:tr>
        <w:trPr>
          <w:trHeight w:val="442"/>
        </w:trPr>
        <w:tc>
          <w:tcPr>
            <w:tcW w:w="2260" w:type="dxa"/>
            <w:vAlign w:val="bottom"/>
          </w:tcPr>
          <w:p>
            <w:pPr>
              <w:spacing w:after="0"/>
              <w:rPr>
                <w:sz w:val="24"/>
                <w:szCs w:val="24"/>
                <w:color w:val="auto"/>
              </w:rPr>
            </w:pPr>
          </w:p>
        </w:tc>
        <w:tc>
          <w:tcPr>
            <w:tcW w:w="4940" w:type="dxa"/>
            <w:vAlign w:val="bottom"/>
          </w:tcPr>
          <w:p>
            <w:pPr>
              <w:jc w:val="right"/>
              <w:ind w:right="1914"/>
              <w:spacing w:after="0"/>
              <w:rPr>
                <w:sz w:val="20"/>
                <w:szCs w:val="20"/>
                <w:color w:val="auto"/>
              </w:rPr>
            </w:pPr>
            <w:r>
              <w:rPr>
                <w:rFonts w:ascii="Arial" w:cs="Arial" w:eastAsia="Arial" w:hAnsi="Arial"/>
                <w:sz w:val="18"/>
                <w:szCs w:val="18"/>
                <w:b w:val="1"/>
                <w:bCs w:val="1"/>
                <w:color w:val="auto"/>
              </w:rPr>
              <w:t>(844) 445-5704</w:t>
            </w:r>
          </w:p>
        </w:tc>
        <w:tc>
          <w:tcPr>
            <w:tcW w:w="1760" w:type="dxa"/>
            <w:vAlign w:val="bottom"/>
          </w:tcPr>
          <w:p>
            <w:pPr>
              <w:spacing w:after="0"/>
              <w:rPr>
                <w:sz w:val="24"/>
                <w:szCs w:val="24"/>
                <w:color w:val="auto"/>
              </w:rPr>
            </w:pPr>
          </w:p>
        </w:tc>
      </w:tr>
      <w:tr>
        <w:trPr>
          <w:trHeight w:val="206"/>
        </w:trPr>
        <w:tc>
          <w:tcPr>
            <w:tcW w:w="2260" w:type="dxa"/>
            <w:vAlign w:val="bottom"/>
          </w:tcPr>
          <w:p>
            <w:pPr>
              <w:spacing w:after="0"/>
              <w:rPr>
                <w:sz w:val="17"/>
                <w:szCs w:val="17"/>
                <w:color w:val="auto"/>
              </w:rPr>
            </w:pPr>
          </w:p>
        </w:tc>
        <w:tc>
          <w:tcPr>
            <w:tcW w:w="4940" w:type="dxa"/>
            <w:vAlign w:val="bottom"/>
          </w:tcPr>
          <w:p>
            <w:pPr>
              <w:jc w:val="center"/>
              <w:ind w:right="74"/>
              <w:spacing w:after="0"/>
              <w:rPr>
                <w:sz w:val="20"/>
                <w:szCs w:val="20"/>
                <w:color w:val="auto"/>
              </w:rPr>
            </w:pPr>
            <w:r>
              <w:rPr>
                <w:rFonts w:ascii="Arial" w:cs="Arial" w:eastAsia="Arial" w:hAnsi="Arial"/>
                <w:sz w:val="16"/>
                <w:szCs w:val="16"/>
                <w:color w:val="auto"/>
                <w:w w:val="91"/>
              </w:rPr>
              <w:t>(Registrant's telephone number, including area code)</w:t>
            </w:r>
          </w:p>
        </w:tc>
        <w:tc>
          <w:tcPr>
            <w:tcW w:w="1760" w:type="dxa"/>
            <w:vAlign w:val="bottom"/>
          </w:tcPr>
          <w:p>
            <w:pPr>
              <w:spacing w:after="0"/>
              <w:rPr>
                <w:sz w:val="17"/>
                <w:szCs w:val="17"/>
                <w:color w:val="auto"/>
              </w:rPr>
            </w:pPr>
          </w:p>
        </w:tc>
      </w:tr>
      <w:tr>
        <w:trPr>
          <w:trHeight w:val="455"/>
        </w:trPr>
        <w:tc>
          <w:tcPr>
            <w:tcW w:w="2260" w:type="dxa"/>
            <w:vAlign w:val="bottom"/>
          </w:tcPr>
          <w:p>
            <w:pPr>
              <w:spacing w:after="0"/>
              <w:rPr>
                <w:sz w:val="24"/>
                <w:szCs w:val="24"/>
                <w:color w:val="auto"/>
              </w:rPr>
            </w:pPr>
          </w:p>
        </w:tc>
        <w:tc>
          <w:tcPr>
            <w:tcW w:w="4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(Not applicable)</w:t>
            </w:r>
          </w:p>
        </w:tc>
        <w:tc>
          <w:tcPr>
            <w:tcW w:w="1760" w:type="dxa"/>
            <w:vAlign w:val="bottom"/>
          </w:tcPr>
          <w:p>
            <w:pPr>
              <w:spacing w:after="0"/>
              <w:rPr>
                <w:sz w:val="24"/>
                <w:szCs w:val="24"/>
                <w:color w:val="auto"/>
              </w:rPr>
            </w:pPr>
          </w:p>
        </w:tc>
      </w:tr>
      <w:tr>
        <w:trPr>
          <w:trHeight w:val="206"/>
        </w:trPr>
        <w:tc>
          <w:tcPr>
            <w:tcW w:w="2260" w:type="dxa"/>
            <w:vAlign w:val="bottom"/>
          </w:tcPr>
          <w:p>
            <w:pPr>
              <w:spacing w:after="0"/>
              <w:rPr>
                <w:sz w:val="17"/>
                <w:szCs w:val="17"/>
                <w:color w:val="auto"/>
              </w:rPr>
            </w:pPr>
          </w:p>
        </w:tc>
        <w:tc>
          <w:tcPr>
            <w:tcW w:w="4940" w:type="dxa"/>
            <w:vAlign w:val="bottom"/>
          </w:tcPr>
          <w:p>
            <w:pPr>
              <w:jc w:val="center"/>
              <w:ind w:right="74"/>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760" w:type="dxa"/>
            <w:vAlign w:val="bottom"/>
          </w:tcPr>
          <w:p>
            <w:pPr>
              <w:spacing w:after="0"/>
              <w:rPr>
                <w:sz w:val="17"/>
                <w:szCs w:val="17"/>
                <w:color w:val="auto"/>
              </w:rPr>
            </w:pPr>
          </w:p>
        </w:tc>
      </w:tr>
    </w:tbl>
    <w:p>
      <w:pPr>
        <w:spacing w:after="0" w:line="104" w:lineRule="exact"/>
        <w:rPr>
          <w:sz w:val="24"/>
          <w:szCs w:val="24"/>
          <w:color w:val="auto"/>
        </w:rPr>
      </w:pPr>
    </w:p>
    <w:p>
      <w:pPr>
        <w:ind w:left="8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92" w:lineRule="exact"/>
        <w:rPr>
          <w:sz w:val="24"/>
          <w:szCs w:val="24"/>
          <w:color w:val="auto"/>
        </w:rPr>
      </w:pPr>
    </w:p>
    <w:p>
      <w:pPr>
        <w:ind w:left="720" w:hanging="646"/>
        <w:spacing w:after="0"/>
        <w:tabs>
          <w:tab w:leader="none" w:pos="7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31" w:lineRule="exact"/>
        <w:rPr>
          <w:rFonts w:ascii="MS PGothic" w:cs="MS PGothic" w:eastAsia="MS PGothic" w:hAnsi="MS PGothic"/>
          <w:sz w:val="32"/>
          <w:szCs w:val="32"/>
          <w:color w:val="auto"/>
          <w:vertAlign w:val="superscript"/>
        </w:rPr>
      </w:pPr>
    </w:p>
    <w:p>
      <w:pPr>
        <w:ind w:left="720" w:hanging="646"/>
        <w:spacing w:after="0" w:line="184" w:lineRule="auto"/>
        <w:tabs>
          <w:tab w:leader="none" w:pos="7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4"/>
          <w:szCs w:val="14"/>
          <w:color w:val="auto"/>
        </w:rPr>
        <w:t>Soliciting material pursuant to Rule 14a-12 under the Exchange Act (17 CFR 240.14a-12)</w:t>
      </w:r>
    </w:p>
    <w:p>
      <w:pPr>
        <w:spacing w:after="0" w:line="132" w:lineRule="exact"/>
        <w:rPr>
          <w:rFonts w:ascii="MS PGothic" w:cs="MS PGothic" w:eastAsia="MS PGothic" w:hAnsi="MS PGothic"/>
          <w:sz w:val="25"/>
          <w:szCs w:val="25"/>
          <w:color w:val="auto"/>
          <w:vertAlign w:val="superscript"/>
        </w:rPr>
      </w:pPr>
    </w:p>
    <w:p>
      <w:pPr>
        <w:ind w:left="720" w:hanging="646"/>
        <w:spacing w:after="0" w:line="184" w:lineRule="auto"/>
        <w:tabs>
          <w:tab w:leader="none" w:pos="7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4"/>
          <w:szCs w:val="14"/>
          <w:color w:val="auto"/>
        </w:rPr>
        <w:t>Pre-commencement communications pursuant to Rule 14d-2(b) under the Exchange Act (17 CFR 240.14d-2(b))</w:t>
      </w:r>
    </w:p>
    <w:p>
      <w:pPr>
        <w:spacing w:after="0" w:line="132" w:lineRule="exact"/>
        <w:rPr>
          <w:rFonts w:ascii="MS PGothic" w:cs="MS PGothic" w:eastAsia="MS PGothic" w:hAnsi="MS PGothic"/>
          <w:sz w:val="25"/>
          <w:szCs w:val="25"/>
          <w:color w:val="auto"/>
          <w:vertAlign w:val="superscript"/>
        </w:rPr>
      </w:pPr>
    </w:p>
    <w:p>
      <w:pPr>
        <w:ind w:left="80" w:right="3280" w:hanging="6"/>
        <w:spacing w:after="0" w:line="274" w:lineRule="auto"/>
        <w:tabs>
          <w:tab w:leader="none" w:pos="73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4"/>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XERS</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247" w:lineRule="exact"/>
        <w:rPr>
          <w:sz w:val="24"/>
          <w:szCs w:val="24"/>
          <w:color w:val="auto"/>
        </w:rPr>
      </w:pPr>
    </w:p>
    <w:p>
      <w:pPr>
        <w:jc w:val="both"/>
        <w:ind w:left="80" w:right="6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0" w:lineRule="exact"/>
        <w:rPr>
          <w:sz w:val="24"/>
          <w:szCs w:val="24"/>
          <w:color w:val="auto"/>
        </w:rPr>
      </w:pPr>
    </w:p>
    <w:p>
      <w:pPr>
        <w:spacing w:after="0" w:line="247"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5"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927100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August 8, 2023, Xeris Biopharma Holdings, Inc. (the “Company”) issued a press release containing information about the Company’s results of operations and business highlights for the three and six months ended June 30, 2023. A copy of this press release is furnished as Exhibit 99.1 to this Current Report on Form 8-K.</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information in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4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8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880" w:type="dxa"/>
            <w:vAlign w:val="bottom"/>
          </w:tcPr>
          <w:p>
            <w:pPr>
              <w:ind w:left="20"/>
              <w:spacing w:after="0" w:line="170" w:lineRule="exact"/>
              <w:rPr>
                <w:sz w:val="20"/>
                <w:szCs w:val="20"/>
                <w:color w:val="auto"/>
              </w:rPr>
            </w:pPr>
            <w:r>
              <w:rPr>
                <w:rFonts w:ascii="Arial" w:cs="Arial" w:eastAsia="Arial" w:hAnsi="Arial"/>
                <w:sz w:val="18"/>
                <w:szCs w:val="18"/>
                <w:color w:val="auto"/>
              </w:rPr>
              <w:t>99.1</w:t>
            </w:r>
          </w:p>
        </w:tc>
        <w:tc>
          <w:tcPr>
            <w:tcW w:w="8520" w:type="dxa"/>
            <w:vAlign w:val="bottom"/>
            <w:tcBorders>
              <w:bottom w:val="single" w:sz="8" w:color="0000FF"/>
            </w:tcBorders>
          </w:tcPr>
          <w:p>
            <w:pPr>
              <w:spacing w:after="0" w:line="170" w:lineRule="exact"/>
              <w:rPr>
                <w:sz w:val="20"/>
                <w:szCs w:val="20"/>
                <w:color w:val="auto"/>
              </w:rPr>
            </w:pPr>
            <w:r>
              <w:rPr>
                <w:rFonts w:ascii="Arial" w:cs="Arial" w:eastAsia="Arial" w:hAnsi="Arial"/>
                <w:sz w:val="18"/>
                <w:szCs w:val="18"/>
                <w:color w:val="0000FF"/>
                <w:w w:val="89"/>
              </w:rPr>
              <w:t>Press release issued by Xeris Biopharma Holdings, Inc. announcing second quarter 2023 results, dated August 8, 2023</w:t>
            </w:r>
          </w:p>
        </w:tc>
        <w:tc>
          <w:tcPr>
            <w:tcW w:w="840" w:type="dxa"/>
            <w:vAlign w:val="bottom"/>
          </w:tcPr>
          <w:p>
            <w:pPr>
              <w:spacing w:after="0"/>
              <w:rPr>
                <w:sz w:val="16"/>
                <w:szCs w:val="16"/>
                <w:color w:val="auto"/>
              </w:rPr>
            </w:pPr>
          </w:p>
        </w:tc>
      </w:tr>
      <w:tr>
        <w:trPr>
          <w:trHeight w:val="277"/>
        </w:trPr>
        <w:tc>
          <w:tcPr>
            <w:tcW w:w="1880" w:type="dxa"/>
            <w:vAlign w:val="bottom"/>
          </w:tcPr>
          <w:p>
            <w:pPr>
              <w:ind w:left="20"/>
              <w:spacing w:after="0"/>
              <w:rPr>
                <w:sz w:val="20"/>
                <w:szCs w:val="20"/>
                <w:color w:val="auto"/>
              </w:rPr>
            </w:pPr>
            <w:r>
              <w:rPr>
                <w:rFonts w:ascii="Arial" w:cs="Arial" w:eastAsia="Arial" w:hAnsi="Arial"/>
                <w:sz w:val="18"/>
                <w:szCs w:val="18"/>
                <w:color w:val="auto"/>
              </w:rPr>
              <w:t>104</w:t>
            </w:r>
          </w:p>
        </w:tc>
        <w:tc>
          <w:tcPr>
            <w:tcW w:w="93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87"/>
        </w:trPr>
        <w:tc>
          <w:tcPr>
            <w:tcW w:w="188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3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6"/>
          <w:szCs w:val="16"/>
          <w:b w:val="1"/>
          <w:bCs w:val="1"/>
          <w:color w:val="auto"/>
        </w:rPr>
        <w:t>Xeris Biopharma Holdings, Inc.</w:t>
      </w:r>
    </w:p>
    <w:p>
      <w:pPr>
        <w:spacing w:after="0" w:line="175" w:lineRule="exact"/>
        <w:rPr>
          <w:sz w:val="20"/>
          <w:szCs w:val="20"/>
          <w:color w:val="auto"/>
        </w:rPr>
      </w:pPr>
    </w:p>
    <w:p>
      <w:pPr>
        <w:ind w:left="6440"/>
        <w:spacing w:after="0"/>
        <w:tabs>
          <w:tab w:leader="none" w:pos="6860" w:val="left"/>
        </w:tabs>
        <w:rPr>
          <w:sz w:val="20"/>
          <w:szCs w:val="20"/>
          <w:color w:val="auto"/>
        </w:rPr>
      </w:pPr>
      <w:r>
        <w:rPr>
          <w:rFonts w:ascii="Arial" w:cs="Arial" w:eastAsia="Arial" w:hAnsi="Arial"/>
          <w:sz w:val="18"/>
          <w:szCs w:val="18"/>
          <w:color w:val="auto"/>
        </w:rPr>
        <w:t>By:</w:t>
        <w:tab/>
        <w:t>/s/ Steven M. Pieper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289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Steven M. Pieper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ectPr>
          <w:pgSz w:w="11900" w:h="16838" w:orient="portrait"/>
          <w:cols w:equalWidth="0" w:num="1">
            <w:col w:w="10260"/>
          </w:cols>
          <w:pgMar w:left="980" w:top="89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57734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XERIS BIOPHARMA REPORTS SECOND QUARTER 2023 FINANCIAL RESULTS</w:t>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Achieved record revenue of $38.0M – a 14% increase from prior quarter, and a 50% increase from same period prior year</w:t>
      </w:r>
    </w:p>
    <w:p>
      <w:pPr>
        <w:spacing w:after="0" w:line="104"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Ended Q2 with over $80M in cash, cash equivalents and short-term investments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Tightens full-year 2023 guidance: total net revenue of $145M-$165M; cash utilization of $57M-$67M; 2023 year-end cash balance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$55M-$65M</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Remains on track to achieve cash flow breakeven by year-end 2023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Hosting conference call and webcast today at 8:30 a.m. ET</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CHICAGO, IL; August 8, 2023 </w:t>
      </w:r>
      <w:r>
        <w:rPr>
          <w:rFonts w:ascii="Arial" w:cs="Arial" w:eastAsia="Arial" w:hAnsi="Arial"/>
          <w:sz w:val="18"/>
          <w:szCs w:val="18"/>
          <w:color w:val="auto"/>
        </w:rPr>
        <w:t>– Xeris Biopharma Holdings, Inc. (Nasdaq: XERS), a growth-oriented biopharmaceutical company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improving patient lives by developing and commercializing innovative products across a range of therapies, today announced financial results for the second quarter and six months ended June 30, 2023 and corporate highlights.</w:t>
      </w:r>
    </w:p>
    <w:p>
      <w:pPr>
        <w:spacing w:after="0" w:line="8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posted another record quarter of revenue due to the continued strong demand of all three products, as well as contributions from our partnerships,” said Paul R. Edick, Chairman and CEO of Xeris Biopharma. “Our differentiated business model, exceptional year-to-date performance, and expectations for the remainder of the year gives us the confidence to tighten our 2023 guidance by raising the low end of the total revenue range to $145 to $165 million from $135 to $165 million; reducing cash utilization range to $57 to $67 million from $ 57 to $77 million; improving year-end cash range to $55 to $65 million. And, we expect to be at the cash flow breakeven point in the fourth quarter and continue being a self-sustaining enterprise.”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Second Quarter 2023 Highlights</w:t>
            </w: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74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376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Product revenue (in thousands):</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Gvoke</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15,638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11,479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4,159</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56"/>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Keveyis</w:t>
            </w:r>
          </w:p>
        </w:tc>
        <w:tc>
          <w:tcPr>
            <w:tcW w:w="116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14,088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1,276</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7"/>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Recorlev</w:t>
            </w: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7,167</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6,198</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Product revenue, net</w:t>
            </w: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36,893</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11,633</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Royalty, contract and other revenue</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1,069</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4360" w:type="dxa"/>
            <w:vAlign w:val="bottom"/>
            <w:gridSpan w:val="2"/>
            <w:vMerge w:val="continue"/>
          </w:tcPr>
          <w:p>
            <w:pPr>
              <w:spacing w:after="0"/>
              <w:rPr>
                <w:sz w:val="21"/>
                <w:szCs w:val="21"/>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38,008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25,306</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12,702</w:t>
            </w:r>
          </w:p>
        </w:tc>
        <w:tc>
          <w:tcPr>
            <w:tcW w:w="5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Products</w:t>
      </w:r>
    </w:p>
    <w:p>
      <w:pPr>
        <w:spacing w:after="0" w:line="104" w:lineRule="exact"/>
        <w:rPr>
          <w:sz w:val="20"/>
          <w:szCs w:val="20"/>
          <w:color w:val="auto"/>
        </w:rPr>
      </w:pPr>
    </w:p>
    <w:p>
      <w:pPr>
        <w:ind w:left="660" w:right="22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Gvoke®</w:t>
      </w:r>
      <w:r>
        <w:rPr>
          <w:rFonts w:ascii="Arial" w:cs="Arial" w:eastAsia="Arial" w:hAnsi="Arial"/>
          <w:sz w:val="18"/>
          <w:szCs w:val="18"/>
          <w:color w:val="auto"/>
        </w:rPr>
        <w:t>: Second quarter 2023 net revenue was $15.6 million as compared to $11.5 million in the second quarter of 2022 –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approximately 36%. Gvoke prescriptions topped 51,000 for the first time, growing 50% compared to the same period in 2022. Gvoke’s market share of the retail TRx glucagon market grew to approximately 29% at the end of July.</w:t>
      </w:r>
    </w:p>
    <w:p>
      <w:pPr>
        <w:spacing w:after="0" w:line="53" w:lineRule="exact"/>
        <w:rPr>
          <w:rFonts w:ascii="Arial" w:cs="Arial" w:eastAsia="Arial" w:hAnsi="Arial"/>
          <w:sz w:val="18"/>
          <w:szCs w:val="18"/>
          <w:color w:val="auto"/>
        </w:rPr>
      </w:pPr>
    </w:p>
    <w:p>
      <w:pPr>
        <w:ind w:left="660" w:right="140" w:hanging="328"/>
        <w:spacing w:after="0" w:line="28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Keveyis®</w:t>
      </w:r>
      <w:r>
        <w:rPr>
          <w:rFonts w:ascii="Arial" w:cs="Arial" w:eastAsia="Arial" w:hAnsi="Arial"/>
          <w:sz w:val="18"/>
          <w:szCs w:val="18"/>
          <w:color w:val="auto"/>
        </w:rPr>
        <w:t>: Second quarter net revenue was $14.1 million – an increase of 10% compared to the same period in 2022. The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patients on Keveyis increased approximately 11% from the same period in 2022.</w:t>
      </w:r>
    </w:p>
    <w:p>
      <w:pPr>
        <w:sectPr>
          <w:pgSz w:w="11900" w:h="16838" w:orient="portrait"/>
          <w:cols w:equalWidth="0" w:num="1">
            <w:col w:w="11240"/>
          </w:cols>
          <w:pgMar w:left="320" w:top="994" w:right="339" w:bottom="1440" w:gutter="0" w:footer="0" w:header="0"/>
        </w:sectPr>
      </w:pPr>
    </w:p>
    <w:bookmarkStart w:id="4" w:name="page5"/>
    <w:bookmarkEnd w:id="4"/>
    <w:p>
      <w:pPr>
        <w:ind w:left="660" w:right="140" w:hanging="328"/>
        <w:spacing w:after="0" w:line="30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Recorlev®</w:t>
      </w:r>
      <w:r>
        <w:rPr>
          <w:rFonts w:ascii="Arial" w:cs="Arial" w:eastAsia="Arial" w:hAnsi="Arial"/>
          <w:sz w:val="17"/>
          <w:szCs w:val="17"/>
          <w:color w:val="auto"/>
        </w:rPr>
        <w:t>: Second quarter net revenue was $7.2 million – an increase of $6.2 million compared to the second quarter of 2022,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full quarter since its launch. The average number of patients on Recorlev increased over 400% from the same period in 2022.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Program</w:t>
      </w:r>
    </w:p>
    <w:p>
      <w:pPr>
        <w:spacing w:after="0" w:line="104" w:lineRule="exact"/>
        <w:rPr>
          <w:sz w:val="20"/>
          <w:szCs w:val="20"/>
          <w:color w:val="auto"/>
        </w:rPr>
      </w:pPr>
    </w:p>
    <w:p>
      <w:pPr>
        <w:ind w:left="660" w:right="2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XeriSol® levothyroxine (XP-8121)</w:t>
      </w:r>
      <w:r>
        <w:rPr>
          <w:rFonts w:ascii="Arial" w:cs="Arial" w:eastAsia="Arial" w:hAnsi="Arial"/>
          <w:sz w:val="18"/>
          <w:szCs w:val="18"/>
          <w:color w:val="auto"/>
        </w:rPr>
        <w:t>: Xeris began dosing patients in its Phase 2 clinical study in the second quarter.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anticipates completing the study in the first half of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Year-to-Date 2023 Financial Results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40" w:type="dxa"/>
            <w:vAlign w:val="bottom"/>
          </w:tcPr>
          <w:p>
            <w:pPr>
              <w:spacing w:after="0"/>
              <w:rPr>
                <w:sz w:val="22"/>
                <w:szCs w:val="22"/>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2"/>
                <w:szCs w:val="22"/>
                <w:color w:val="auto"/>
              </w:rPr>
            </w:pPr>
          </w:p>
        </w:tc>
        <w:tc>
          <w:tcPr>
            <w:tcW w:w="100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Product revenue (in thousands):</w:t>
            </w:r>
          </w:p>
        </w:tc>
        <w:tc>
          <w:tcPr>
            <w:tcW w:w="1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40"/>
              <w:spacing w:after="0"/>
              <w:rPr>
                <w:sz w:val="20"/>
                <w:szCs w:val="20"/>
                <w:color w:val="auto"/>
              </w:rPr>
            </w:pPr>
            <w:r>
              <w:rPr>
                <w:rFonts w:ascii="Arial" w:cs="Arial" w:eastAsia="Arial" w:hAnsi="Arial"/>
                <w:sz w:val="18"/>
                <w:szCs w:val="18"/>
                <w:color w:val="auto"/>
              </w:rPr>
              <w:t>Gvoke</w:t>
            </w:r>
          </w:p>
        </w:tc>
        <w:tc>
          <w:tcPr>
            <w:tcW w:w="24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30,671</w:t>
            </w:r>
          </w:p>
        </w:tc>
        <w:tc>
          <w:tcPr>
            <w:tcW w:w="12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23,932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6,739</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57"/>
        </w:trPr>
        <w:tc>
          <w:tcPr>
            <w:tcW w:w="3040" w:type="dxa"/>
            <w:vAlign w:val="bottom"/>
          </w:tcPr>
          <w:p>
            <w:pPr>
              <w:ind w:left="140"/>
              <w:spacing w:after="0"/>
              <w:rPr>
                <w:sz w:val="20"/>
                <w:szCs w:val="20"/>
                <w:color w:val="auto"/>
              </w:rPr>
            </w:pPr>
            <w:r>
              <w:rPr>
                <w:rFonts w:ascii="Arial" w:cs="Arial" w:eastAsia="Arial" w:hAnsi="Arial"/>
                <w:sz w:val="18"/>
                <w:szCs w:val="18"/>
                <w:color w:val="auto"/>
              </w:rPr>
              <w:t>Keveyis</w:t>
            </w:r>
          </w:p>
        </w:tc>
        <w:tc>
          <w:tcPr>
            <w:tcW w:w="1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26,843</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22,136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4,707</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7"/>
        </w:trPr>
        <w:tc>
          <w:tcPr>
            <w:tcW w:w="3040" w:type="dxa"/>
            <w:vAlign w:val="bottom"/>
          </w:tcPr>
          <w:p>
            <w:pPr>
              <w:ind w:left="140"/>
              <w:spacing w:after="0"/>
              <w:rPr>
                <w:sz w:val="20"/>
                <w:szCs w:val="20"/>
                <w:color w:val="auto"/>
              </w:rPr>
            </w:pPr>
            <w:r>
              <w:rPr>
                <w:rFonts w:ascii="Arial" w:cs="Arial" w:eastAsia="Arial" w:hAnsi="Arial"/>
                <w:sz w:val="18"/>
                <w:szCs w:val="18"/>
                <w:color w:val="auto"/>
              </w:rPr>
              <w:t>Recorlev</w:t>
            </w:r>
          </w:p>
        </w:tc>
        <w:tc>
          <w:tcPr>
            <w:tcW w:w="13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11,644</w:t>
            </w:r>
          </w:p>
        </w:tc>
        <w:tc>
          <w:tcPr>
            <w:tcW w:w="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Product revenue, net</w:t>
            </w:r>
          </w:p>
        </w:tc>
        <w:tc>
          <w:tcPr>
            <w:tcW w:w="1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69,158</w:t>
            </w:r>
          </w:p>
        </w:tc>
        <w:tc>
          <w:tcPr>
            <w:tcW w:w="8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21,988</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Royalty, contract and other revenue</w:t>
            </w: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1,837</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40" w:type="dxa"/>
            <w:vAlign w:val="bottom"/>
            <w:vMerge w:val="restart"/>
          </w:tcPr>
          <w:p>
            <w:pPr>
              <w:ind w:left="14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3040" w:type="dxa"/>
            <w:vAlign w:val="bottom"/>
            <w:vMerge w:val="continue"/>
          </w:tcPr>
          <w:p>
            <w:pPr>
              <w:spacing w:after="0"/>
              <w:rPr>
                <w:sz w:val="21"/>
                <w:szCs w:val="21"/>
                <w:color w:val="auto"/>
              </w:rPr>
            </w:pPr>
          </w:p>
        </w:tc>
        <w:tc>
          <w:tcPr>
            <w:tcW w:w="24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71,204</w:t>
            </w:r>
          </w:p>
        </w:tc>
        <w:tc>
          <w:tcPr>
            <w:tcW w:w="12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47,379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23,825</w:t>
            </w:r>
          </w:p>
        </w:tc>
        <w:tc>
          <w:tcPr>
            <w:tcW w:w="5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94" w:lineRule="exact"/>
        <w:rPr>
          <w:sz w:val="20"/>
          <w:szCs w:val="20"/>
          <w:color w:val="auto"/>
        </w:rPr>
      </w:pPr>
    </w:p>
    <w:p>
      <w:pPr>
        <w:jc w:val="both"/>
        <w:ind w:left="660" w:right="3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Gvoke®</w:t>
      </w:r>
      <w:r>
        <w:rPr>
          <w:rFonts w:ascii="Arial" w:cs="Arial" w:eastAsia="Arial" w:hAnsi="Arial"/>
          <w:sz w:val="18"/>
          <w:szCs w:val="18"/>
          <w:color w:val="auto"/>
        </w:rPr>
        <w:t>: Net revenue was $30.7 million for the six months ended June 30, 2023, a 28% increase compared to prior year. Gvoke</w:t>
      </w:r>
      <w:r>
        <w:rPr>
          <w:rFonts w:ascii="Arial" w:cs="Arial" w:eastAsia="Arial" w:hAnsi="Arial"/>
          <w:sz w:val="18"/>
          <w:szCs w:val="18"/>
          <w:b w:val="1"/>
          <w:bCs w:val="1"/>
          <w:color w:val="auto"/>
        </w:rPr>
        <w:t xml:space="preserve"> </w:t>
      </w:r>
      <w:r>
        <w:rPr>
          <w:rFonts w:ascii="Arial" w:cs="Arial" w:eastAsia="Arial" w:hAnsi="Arial"/>
          <w:sz w:val="18"/>
          <w:szCs w:val="18"/>
          <w:color w:val="auto"/>
        </w:rPr>
        <w:t>prescriptions for the first half of 2023 were over 97,000 TRx’s, growing 50% compared to the same period in 2022. The growth in product demand was partially offset by a decrease in net pricing.</w:t>
      </w:r>
    </w:p>
    <w:p>
      <w:pPr>
        <w:spacing w:after="0" w:line="53" w:lineRule="exact"/>
        <w:rPr>
          <w:rFonts w:ascii="Arial" w:cs="Arial" w:eastAsia="Arial" w:hAnsi="Arial"/>
          <w:sz w:val="18"/>
          <w:szCs w:val="18"/>
          <w:color w:val="auto"/>
        </w:rPr>
      </w:pPr>
    </w:p>
    <w:p>
      <w:pPr>
        <w:ind w:left="660" w:right="4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Keveyis®</w:t>
      </w:r>
      <w:r>
        <w:rPr>
          <w:rFonts w:ascii="Arial" w:cs="Arial" w:eastAsia="Arial" w:hAnsi="Arial"/>
          <w:sz w:val="18"/>
          <w:szCs w:val="18"/>
          <w:color w:val="auto"/>
        </w:rPr>
        <w:t>: Net revenue was $26.8 million for the six months ended June 30, 2023, a 21% increase from last year. This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a 9% increase in sales volume and an increase in net pricing.</w:t>
      </w:r>
    </w:p>
    <w:p>
      <w:pPr>
        <w:spacing w:after="0" w:line="59" w:lineRule="exact"/>
        <w:rPr>
          <w:rFonts w:ascii="Arial" w:cs="Arial" w:eastAsia="Arial" w:hAnsi="Arial"/>
          <w:sz w:val="18"/>
          <w:szCs w:val="18"/>
          <w:color w:val="auto"/>
        </w:rPr>
      </w:pPr>
    </w:p>
    <w:p>
      <w:pPr>
        <w:ind w:left="660" w:right="320" w:hanging="328"/>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Recorlev®</w:t>
      </w:r>
      <w:r>
        <w:rPr>
          <w:rFonts w:ascii="Arial" w:cs="Arial" w:eastAsia="Arial" w:hAnsi="Arial"/>
          <w:sz w:val="18"/>
          <w:szCs w:val="18"/>
          <w:color w:val="auto"/>
        </w:rPr>
        <w:t>: Net revenue was $11.6 million for the six months ended June 30,2023, a $10.5 million increase from last year, driven</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by increases in the number of patients on therapy.</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increased by $2.7 million or 57.1% for the three months ended June 30, 2023 compared to the same period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2022. The increase was attributable to higher product sales and product mix. Cost of goods sold increased by $1.8 million or 16.2% for the six months ended June 30, 2023 compared to the same period ended June 30, 2022. The increase was attributable to higher product sales and product mix, partially offset by a one-time contract credit in the first quarter of 2023.</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increased by $2.4 million or 63.7% and $ 1.0 million or 9.6% for the three and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2023, respectively, compared to the same periods ended June 30, 2022. The increases in both periods were due to higher spending on the Open-label Treatment in Cushing’s Syndrome (OPTICS) study for Recorlev and higher product development costs.</w:t>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increased by $4.7 million or 14.1% and $2.3 million or 3.4% for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2023, respectively, compared to the same periods ended June 30, 2022, due to higher personnel costs, marketing expenses and rent expenses related to the new lease commenced in April 2023.</w:t>
      </w:r>
    </w:p>
    <w:p>
      <w:pPr>
        <w:spacing w:after="0" w:line="7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for the three months ended June 30, 2023, was $19.8 million, or $0.14 per share, and a net loss of $36.7 million, or $0.27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six months ended June 30, 2023.</w:t>
      </w:r>
    </w:p>
    <w:p>
      <w:pPr>
        <w:spacing w:after="0" w:line="4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 xml:space="preserve">Cash, cash equivalents, and short-term investments </w:t>
      </w:r>
      <w:r>
        <w:rPr>
          <w:rFonts w:ascii="Arial" w:cs="Arial" w:eastAsia="Arial" w:hAnsi="Arial"/>
          <w:sz w:val="18"/>
          <w:szCs w:val="18"/>
          <w:color w:val="auto"/>
        </w:rPr>
        <w:t>at June 30, 2023 was $80.7 million compared to $122.0 million at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Total shares outstanding at July 31, 2023 was 138,065,993.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14"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color w:val="auto"/>
        </w:rPr>
        <w:t>Xeris will host a conference call and webcast today, Tuesday, August 8, 2023, at 8:30 a.m. Eastern Time. To pre-register for the conference call please use this link</w:t>
      </w:r>
      <w:r>
        <w:rPr>
          <w:rFonts w:ascii="Arial" w:cs="Arial" w:eastAsia="Arial" w:hAnsi="Arial"/>
          <w:sz w:val="17"/>
          <w:szCs w:val="17"/>
          <w:color w:val="222222"/>
        </w:rPr>
        <w:t>:</w:t>
      </w:r>
      <w:r>
        <w:rPr>
          <w:rFonts w:ascii="Arial" w:cs="Arial" w:eastAsia="Arial" w:hAnsi="Arial"/>
          <w:sz w:val="17"/>
          <w:szCs w:val="17"/>
          <w:color w:val="auto"/>
        </w:rPr>
        <w:t xml:space="preserve"> </w:t>
      </w:r>
      <w:r>
        <w:rPr>
          <w:rFonts w:ascii="Arial" w:cs="Arial" w:eastAsia="Arial" w:hAnsi="Arial"/>
          <w:sz w:val="17"/>
          <w:szCs w:val="17"/>
          <w:color w:val="0000FF"/>
        </w:rPr>
        <w:t>https://www.netroadshow.com/events/login?show=73c6056b&amp;confId=53289</w:t>
      </w:r>
      <w:r>
        <w:rPr>
          <w:rFonts w:ascii="Arial" w:cs="Arial" w:eastAsia="Arial" w:hAnsi="Arial"/>
          <w:sz w:val="17"/>
          <w:szCs w:val="17"/>
          <w:color w:val="auto"/>
        </w:rPr>
        <w:t xml:space="preserve"> After registering, a confirmation email will be sent, including dial-in details and a unique code for entry. The Company recommends registering a minimum of ten minutes prior to the start of the call. Following the conference call, a replay will be available until Tuesday, August 22, 2023 at US:1 929</w:t>
      </w:r>
    </w:p>
    <w:p>
      <w:pPr>
        <w:sectPr>
          <w:pgSz w:w="11900" w:h="16838" w:orient="portrait"/>
          <w:cols w:equalWidth="0" w:num="1">
            <w:col w:w="11240"/>
          </w:cols>
          <w:pgMar w:left="320" w:top="99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458 6194, US Toll Free: 1 866 813 9403, UK: 0204 525 0658, Canada: 1 226 828 7578, or all other locations: +44 204 525 0658 Access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Code: 729515.</w:t>
      </w:r>
    </w:p>
    <w:p>
      <w:pPr>
        <w:spacing w:after="0" w:line="10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 xml:space="preserve">In addition, a live audio of the conference call will be available as a webcast. To join the webcast, please visit “Events” on investor relations page of the Company’s website at </w:t>
      </w:r>
      <w:r>
        <w:rPr>
          <w:rFonts w:ascii="Arial" w:cs="Arial" w:eastAsia="Arial" w:hAnsi="Arial"/>
          <w:sz w:val="18"/>
          <w:szCs w:val="18"/>
          <w:color w:val="0000FF"/>
        </w:rPr>
        <w:t>www.xerispharma.com</w:t>
      </w:r>
      <w:r>
        <w:rPr>
          <w:rFonts w:ascii="Arial" w:cs="Arial" w:eastAsia="Arial" w:hAnsi="Arial"/>
          <w:sz w:val="18"/>
          <w:szCs w:val="18"/>
          <w:color w:val="auto"/>
        </w:rPr>
        <w:t xml:space="preserve"> or use this link: </w:t>
      </w:r>
      <w:r>
        <w:rPr>
          <w:rFonts w:ascii="Arial" w:cs="Arial" w:eastAsia="Arial" w:hAnsi="Arial"/>
          <w:sz w:val="18"/>
          <w:szCs w:val="18"/>
          <w:color w:val="0000FF"/>
        </w:rPr>
        <w:t>https://events.q4inc.com/attendee/901721849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Xeris</w:t>
      </w:r>
    </w:p>
    <w:p>
      <w:pPr>
        <w:spacing w:after="0" w:line="12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Xeris (Nasdaq: XERS) is a growth-oriented biopharmaceutical company committed to improving patient lives by developing and commercializing innovative products across a range of therapies. Xeris has three commercially available products; Gvoke®, a ready-to-use liquid glucagon for the treatment of severe hypoglycemia, Keveyis®, the first and only FDA-approved therapy for primary periodic paralysis, and Recorlev® for the treatment of endogenous Cushing’s syndrome. Xeris also has a robust pipeline of development programs to extend the current marketed products into important new indications and uses and bring new products forward using its proprietary formulation technology platforms, XeriSol™ and XeriJect™, supporting long-term product development and commercial success.</w:t>
      </w:r>
    </w:p>
    <w:p>
      <w:pPr>
        <w:spacing w:after="0" w:line="93"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 xml:space="preserve">Xeris Biopharma Holdings is headquartered in Chicago, IL. For more information, visit www.xerispharma.com, or follow us on </w:t>
      </w:r>
      <w:r>
        <w:rPr>
          <w:rFonts w:ascii="Arial" w:cs="Arial" w:eastAsia="Arial" w:hAnsi="Arial"/>
          <w:sz w:val="18"/>
          <w:szCs w:val="18"/>
          <w:color w:val="0000FF"/>
        </w:rPr>
        <w:t>Twitter</w:t>
      </w:r>
      <w:r>
        <w:rPr>
          <w:rFonts w:ascii="Arial" w:cs="Arial" w:eastAsia="Arial" w:hAnsi="Arial"/>
          <w:sz w:val="18"/>
          <w:szCs w:val="18"/>
          <w:color w:val="auto"/>
        </w:rPr>
        <w:t xml:space="preserve">, </w:t>
      </w:r>
      <w:r>
        <w:rPr>
          <w:rFonts w:ascii="Arial" w:cs="Arial" w:eastAsia="Arial" w:hAnsi="Arial"/>
          <w:sz w:val="18"/>
          <w:szCs w:val="18"/>
          <w:color w:val="0000FF"/>
        </w:rPr>
        <w:t>LinkedIn</w:t>
      </w:r>
      <w:r>
        <w:rPr>
          <w:rFonts w:ascii="Arial" w:cs="Arial" w:eastAsia="Arial" w:hAnsi="Arial"/>
          <w:sz w:val="18"/>
          <w:szCs w:val="18"/>
          <w:color w:val="000000"/>
        </w:rPr>
        <w:t>, or</w:t>
      </w:r>
      <w:r>
        <w:rPr>
          <w:rFonts w:ascii="Arial" w:cs="Arial" w:eastAsia="Arial" w:hAnsi="Arial"/>
          <w:sz w:val="18"/>
          <w:szCs w:val="18"/>
          <w:color w:val="0000FF"/>
        </w:rPr>
        <w:t xml:space="preserve"> Instagram</w:t>
      </w:r>
      <w:r>
        <w:rPr>
          <w:rFonts w:ascii="Arial" w:cs="Arial" w:eastAsia="Arial" w:hAnsi="Arial"/>
          <w:sz w:val="18"/>
          <w:szCs w:val="18"/>
          <w:color w:val="000000"/>
        </w:rPr>
        <w: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Any statements in this press release about future expectations, plans and prospects for Xeris Biopharma Holdings, Inc. including statements</w:t>
      </w:r>
    </w:p>
    <w:p>
      <w:pPr>
        <w:spacing w:after="0" w:line="8"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regarding the financial outlook for 2023, including projections regarding year-end 2023 cash estimates and total revenue, the Company’s expectations regarding its cash flow breakeven timeline, the market and therapeutic potential of its products and product candidates,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continued growth of Gvoke, Keveyis and Recorlev, continued use of Xeris’ formulation sciences in development and partnered programs, potentially new partnerships and collaborations, expectations regarding clinical data or results from planned clinical trials, the timing of clinical trials, including advancement of its levothyroxine clinical program and a related Phase 2 study results in the first half of 2024, the potential utility of its formulation platforms, cash management, becoming a self-sustaining enterprise, and other statements containing the words “will,” “would,” “continue,” “expect,” “anticipate”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performance or achievements, industry results and developments to differ materially from those expressed in or implied by such forward-looking statements, include its financial position and need for financing, including to fund its product</w:t>
      </w:r>
    </w:p>
    <w:p>
      <w:pPr>
        <w:spacing w:after="0" w:line="8"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development programs or commercialization efforts, whether its products will achieve and maintain market acceptance in a competitive business environment, its reliance on third-party suppliers, including single-source suppliers, its reliance on third parties to conduct clinical</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trials, the ability of its product candidates to compete successfully with existing and new drugs, and its and collaborators’ ability to protect its intellectual property and proprietary technology. No assurance can be given that such expectations will be realized and persons reading this communication are, therefore, cautioned not to place undue reliance on these forward-looking statements. Additional information about potential impacts of COVID-19, financial, operational, economic, competitive, regulatory, governmental, technological, and other factors that may affect Xeris can be found in Xeris’ filings, including its most recently filed Annual Report on Form 10-K filed with the Securities and Exchange Commission, the contents of which are not incorporated by reference into, nor do they form part of, this communication. Forward-looking statements in this communication are based on information available to us, as of the date of this communication and, while believed to be reasonable, actual results may differ materially. Subject to any obligations under applicable law, we do not undertake any obligation to update any forward-looking statement whether as a result of new information, future developments or otherwise, or to conform any forward-looking statement to actual results, future events, or to changes in expectations.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Allison Wey</w:t>
      </w:r>
    </w:p>
    <w:p>
      <w:pPr>
        <w:spacing w:after="0" w:line="104" w:lineRule="exact"/>
        <w:rPr>
          <w:sz w:val="20"/>
          <w:szCs w:val="20"/>
          <w:color w:val="auto"/>
        </w:rPr>
      </w:pPr>
    </w:p>
    <w:p>
      <w:pPr>
        <w:ind w:right="5380"/>
        <w:spacing w:after="0" w:line="367" w:lineRule="auto"/>
        <w:rPr>
          <w:sz w:val="20"/>
          <w:szCs w:val="20"/>
          <w:color w:val="auto"/>
        </w:rPr>
      </w:pPr>
      <w:r>
        <w:rPr>
          <w:rFonts w:ascii="Arial" w:cs="Arial" w:eastAsia="Arial" w:hAnsi="Arial"/>
          <w:sz w:val="18"/>
          <w:szCs w:val="18"/>
          <w:color w:val="auto"/>
        </w:rPr>
        <w:t xml:space="preserve">Senior Vice President, Investor Relations and Corporate Communications </w:t>
      </w:r>
      <w:r>
        <w:rPr>
          <w:rFonts w:ascii="Arial" w:cs="Arial" w:eastAsia="Arial" w:hAnsi="Arial"/>
          <w:sz w:val="18"/>
          <w:szCs w:val="18"/>
          <w:color w:val="0000FF"/>
        </w:rPr>
        <w:t>awey@xerispharma.com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312-736-1237</w:t>
      </w:r>
    </w:p>
    <w:p>
      <w:pPr>
        <w:sectPr>
          <w:pgSz w:w="11900" w:h="16838" w:orient="portrait"/>
          <w:cols w:equalWidth="0" w:num="1">
            <w:col w:w="11240"/>
          </w:cols>
          <w:pgMar w:left="320" w:top="100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0"/>
          <w:szCs w:val="20"/>
          <w:b w:val="1"/>
          <w:bCs w:val="1"/>
          <w:color w:val="auto"/>
        </w:rPr>
        <w:t>XERIS BIOPHARMA HOLDINGS, INC.</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CONDENSED CONSOLIDATED STATEMENTS OF OPERATIONS</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4400" w:type="dxa"/>
            <w:vAlign w:val="bottom"/>
            <w:vMerge w:val="restart"/>
          </w:tcPr>
          <w:p>
            <w:pPr>
              <w:spacing w:after="0"/>
              <w:rPr>
                <w:sz w:val="20"/>
                <w:szCs w:val="20"/>
                <w:color w:val="auto"/>
              </w:rPr>
            </w:pPr>
            <w:r>
              <w:rPr>
                <w:rFonts w:ascii="Arial" w:cs="Arial" w:eastAsia="Arial" w:hAnsi="Arial"/>
                <w:sz w:val="18"/>
                <w:szCs w:val="18"/>
                <w:color w:val="auto"/>
              </w:rPr>
              <w:t>Product revenue, net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36,893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25,260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69,158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47,170</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0"/>
                <w:szCs w:val="20"/>
                <w:color w:val="auto"/>
              </w:rPr>
            </w:pPr>
            <w:r>
              <w:rPr>
                <w:rFonts w:ascii="Arial" w:cs="Arial" w:eastAsia="Arial" w:hAnsi="Arial"/>
                <w:sz w:val="18"/>
                <w:szCs w:val="18"/>
                <w:color w:val="auto"/>
              </w:rPr>
              <w:t>Royalty, contract and other revenue</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47,379</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0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11,083</w:t>
            </w: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68,897</w:t>
            </w: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23"/>
        </w:trPr>
        <w:tc>
          <w:tcPr>
            <w:tcW w:w="4400" w:type="dxa"/>
            <w:vAlign w:val="bottom"/>
          </w:tcPr>
          <w:p>
            <w:pPr>
              <w:ind w:left="3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(47,990)</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(12,656)</w:t>
            </w:r>
          </w:p>
        </w:tc>
        <w:tc>
          <w:tcPr>
            <w:tcW w:w="0" w:type="dxa"/>
            <w:vAlign w:val="bottom"/>
          </w:tcPr>
          <w:p>
            <w:pPr>
              <w:spacing w:after="0"/>
              <w:rPr>
                <w:sz w:val="1"/>
                <w:szCs w:val="1"/>
                <w:color w:val="auto"/>
              </w:rPr>
            </w:pPr>
          </w:p>
        </w:tc>
      </w:tr>
      <w:tr>
        <w:trPr>
          <w:trHeight w:val="230"/>
        </w:trPr>
        <w:tc>
          <w:tcPr>
            <w:tcW w:w="4400" w:type="dxa"/>
            <w:vAlign w:val="bottom"/>
          </w:tcPr>
          <w:p>
            <w:pPr>
              <w:ind w:left="300"/>
              <w:spacing w:after="0"/>
              <w:rPr>
                <w:sz w:val="20"/>
                <w:szCs w:val="20"/>
                <w:color w:val="auto"/>
              </w:rPr>
            </w:pPr>
            <w:r>
              <w:rPr>
                <w:rFonts w:ascii="Arial" w:cs="Arial" w:eastAsia="Arial" w:hAnsi="Arial"/>
                <w:sz w:val="18"/>
                <w:szCs w:val="18"/>
                <w:color w:val="auto"/>
              </w:rPr>
              <w:t>Net loss before benefit from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(60,646)</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7"/>
        </w:trPr>
        <w:tc>
          <w:tcPr>
            <w:tcW w:w="4400" w:type="dxa"/>
            <w:vAlign w:val="bottom"/>
          </w:tcPr>
          <w:p>
            <w:pPr>
              <w:ind w:left="30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
        </w:trPr>
        <w:tc>
          <w:tcPr>
            <w:tcW w:w="44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137,338,071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135,529,968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137,250,465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135,282,749</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20" w:top="1124" w:right="39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auto"/>
        </w:rPr>
        <w:t>XERIS BIOPHARMA HOLDINGS, INC.</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4"/>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46,170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121,966</w:t>
            </w:r>
          </w:p>
        </w:tc>
        <w:tc>
          <w:tcPr>
            <w:tcW w:w="0" w:type="dxa"/>
            <w:vAlign w:val="bottom"/>
          </w:tcPr>
          <w:p>
            <w:pPr>
              <w:spacing w:after="0"/>
              <w:rPr>
                <w:sz w:val="1"/>
                <w:szCs w:val="1"/>
                <w:color w:val="auto"/>
              </w:rPr>
            </w:pPr>
          </w:p>
        </w:tc>
      </w:tr>
      <w:tr>
        <w:trPr>
          <w:trHeight w:val="229"/>
        </w:trPr>
        <w:tc>
          <w:tcPr>
            <w:tcW w:w="668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34,498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30,225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30,830</w:t>
            </w:r>
          </w:p>
        </w:tc>
        <w:tc>
          <w:tcPr>
            <w:tcW w:w="0" w:type="dxa"/>
            <w:vAlign w:val="bottom"/>
          </w:tcPr>
          <w:p>
            <w:pPr>
              <w:spacing w:after="0"/>
              <w:rPr>
                <w:sz w:val="1"/>
                <w:szCs w:val="1"/>
                <w:color w:val="auto"/>
              </w:rPr>
            </w:pPr>
          </w:p>
        </w:tc>
      </w:tr>
      <w:tr>
        <w:trPr>
          <w:trHeight w:val="229"/>
        </w:trPr>
        <w:tc>
          <w:tcPr>
            <w:tcW w:w="66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36,538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24,735</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23"/>
        </w:trPr>
        <w:tc>
          <w:tcPr>
            <w:tcW w:w="66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155,741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186,818</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115,186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120,607</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22,859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22,859</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23"/>
        </w:trPr>
        <w:tc>
          <w:tcPr>
            <w:tcW w:w="66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328,778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344,522</w:t>
            </w:r>
          </w:p>
        </w:tc>
        <w:tc>
          <w:tcPr>
            <w:tcW w:w="0" w:type="dxa"/>
            <w:vAlign w:val="bottom"/>
          </w:tcPr>
          <w:p>
            <w:pPr>
              <w:spacing w:after="0"/>
              <w:rPr>
                <w:sz w:val="1"/>
                <w:szCs w:val="1"/>
                <w:color w:val="auto"/>
              </w:rPr>
            </w:pPr>
          </w:p>
        </w:tc>
      </w:tr>
      <w:tr>
        <w:trPr>
          <w:trHeight w:val="21"/>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8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11,621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19,413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36,786</w:t>
            </w: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Arial" w:cs="Arial" w:eastAsia="Arial" w:hAnsi="Arial"/>
                <w:sz w:val="18"/>
                <w:szCs w:val="18"/>
                <w:color w:val="auto"/>
              </w:rPr>
              <w:t>Accrued trade discounts and rebates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17,034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16,818</w:t>
            </w: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Arial" w:cs="Arial" w:eastAsia="Arial" w:hAnsi="Arial"/>
                <w:sz w:val="18"/>
                <w:szCs w:val="18"/>
                <w:color w:val="auto"/>
              </w:rPr>
              <w:t>Accrued returns reserve</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11,173</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Current portion of contingent value rights</w:t>
            </w:r>
          </w:p>
        </w:tc>
        <w:tc>
          <w:tcPr>
            <w:tcW w:w="300" w:type="dxa"/>
            <w:vAlign w:val="bottom"/>
          </w:tcPr>
          <w:p>
            <w:pPr>
              <w:spacing w:after="0"/>
              <w:rPr>
                <w:sz w:val="21"/>
                <w:szCs w:val="21"/>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3"/>
        </w:trPr>
        <w:tc>
          <w:tcPr>
            <w:tcW w:w="66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79,678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73,621</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Long-term debt, net of unamortized debt issuance costs</w:t>
            </w:r>
          </w:p>
        </w:tc>
        <w:tc>
          <w:tcPr>
            <w:tcW w:w="300" w:type="dxa"/>
            <w:vAlign w:val="bottom"/>
          </w:tcPr>
          <w:p>
            <w:pPr>
              <w:spacing w:after="0"/>
              <w:rPr>
                <w:sz w:val="21"/>
                <w:szCs w:val="21"/>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188,182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187,075</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Non-current contingent value rights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25,688</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34,871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6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315,137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299,335</w:t>
            </w:r>
          </w:p>
        </w:tc>
        <w:tc>
          <w:tcPr>
            <w:tcW w:w="0" w:type="dxa"/>
            <w:vAlign w:val="bottom"/>
          </w:tcPr>
          <w:p>
            <w:pPr>
              <w:spacing w:after="0"/>
              <w:rPr>
                <w:sz w:val="1"/>
                <w:szCs w:val="1"/>
                <w:color w:val="auto"/>
              </w:rPr>
            </w:pPr>
          </w:p>
        </w:tc>
      </w:tr>
      <w:tr>
        <w:trPr>
          <w:trHeight w:val="230"/>
        </w:trPr>
        <w:tc>
          <w:tcPr>
            <w:tcW w:w="66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45,187</w:t>
            </w:r>
          </w:p>
        </w:tc>
        <w:tc>
          <w:tcPr>
            <w:tcW w:w="0" w:type="dxa"/>
            <w:vAlign w:val="bottom"/>
          </w:tcPr>
          <w:p>
            <w:pPr>
              <w:spacing w:after="0"/>
              <w:rPr>
                <w:sz w:val="1"/>
                <w:szCs w:val="1"/>
                <w:color w:val="auto"/>
              </w:rPr>
            </w:pPr>
          </w:p>
        </w:tc>
      </w:tr>
      <w:tr>
        <w:trPr>
          <w:trHeight w:val="223"/>
        </w:trPr>
        <w:tc>
          <w:tcPr>
            <w:tcW w:w="668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328,778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344,522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60"/>
      </w:cols>
      <w:pgMar w:left="380" w:top="112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2023-08-08T06:30:10Z</dcterms:created>
  <dcterms:modified xsi:type="dcterms:W3CDTF">2023-08-08T06:30:10Z</dcterms:modified>
</cp:coreProperties>
</file>