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PERSKY MARLA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157,500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Marla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Susan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Persky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6,370</w:t>
            </w:r>
            <w:r>
              <w:rPr>
                <w:rFonts w:ascii="Times New Roman" w:cs="Times New Roman" w:eastAsia="Times New Roman" w:hAnsi="Times New Roman"/>
                <w:sz w:val="22"/>
                <w:szCs w:val="22"/>
                <w:color w:val="008000"/>
                <w:vertAlign w:val="superscript"/>
              </w:rPr>
              <w:t>(2)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u/a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9/23/2000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award under the Company's 2018 Stock Option and Incentive Plan. Each restricted stock represents a contingent right to receive one share of the Company's common stock. These shares shall vest in full upon the earlier to occur of June 4, 2026 or the date of the Company's next annual meeting of stockholders.</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Beth Hecht,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0354"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2025-06-04T18:08:23Z</dcterms:created>
  <dcterms:modified xsi:type="dcterms:W3CDTF">2025-06-04T18:08:23Z</dcterms:modified>
</cp:coreProperties>
</file>