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697230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Date of Report (Date of earliest event reported): March 6, 2025</w:t>
      </w:r>
    </w:p>
    <w:p>
      <w:pPr>
        <w:spacing w:after="0" w:line="200" w:lineRule="exact"/>
        <w:rPr>
          <w:sz w:val="24"/>
          <w:szCs w:val="24"/>
          <w:color w:val="auto"/>
        </w:rPr>
      </w:pPr>
    </w:p>
    <w:p>
      <w:pPr>
        <w:spacing w:after="0" w:line="2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XERIS BIOPHARMA HOLDINGS, INC.</w:t>
      </w:r>
    </w:p>
    <w:p>
      <w:pPr>
        <w:spacing w:after="0" w:line="281" w:lineRule="exact"/>
        <w:rPr>
          <w:sz w:val="24"/>
          <w:szCs w:val="24"/>
          <w:color w:val="auto"/>
        </w:rPr>
      </w:pPr>
    </w:p>
    <w:tbl>
      <w:tblPr>
        <w:tblLayout w:type="fixed"/>
        <w:tblInd w:w="960" w:type="dxa"/>
        <w:tblCellMar>
          <w:top w:w="0" w:type="dxa"/>
          <w:left w:w="0" w:type="dxa"/>
          <w:bottom w:w="0" w:type="dxa"/>
          <w:right w:w="0" w:type="dxa"/>
        </w:tblCellMar>
      </w:tblPr>
      <w:tr>
        <w:trPr>
          <w:trHeight w:val="234"/>
        </w:trPr>
        <w:tc>
          <w:tcPr>
            <w:tcW w:w="2280" w:type="dxa"/>
            <w:vAlign w:val="bottom"/>
          </w:tcPr>
          <w:p>
            <w:pPr>
              <w:spacing w:after="0"/>
              <w:rPr>
                <w:sz w:val="20"/>
                <w:szCs w:val="20"/>
                <w:color w:val="auto"/>
              </w:rPr>
            </w:pPr>
          </w:p>
        </w:tc>
        <w:tc>
          <w:tcPr>
            <w:tcW w:w="4920" w:type="dxa"/>
            <w:vAlign w:val="bottom"/>
          </w:tcPr>
          <w:p>
            <w:pPr>
              <w:jc w:val="center"/>
              <w:ind w:right="74"/>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1760" w:type="dxa"/>
            <w:vAlign w:val="bottom"/>
          </w:tcPr>
          <w:p>
            <w:pPr>
              <w:spacing w:after="0"/>
              <w:rPr>
                <w:sz w:val="20"/>
                <w:szCs w:val="20"/>
                <w:color w:val="auto"/>
              </w:rPr>
            </w:pPr>
          </w:p>
        </w:tc>
      </w:tr>
      <w:tr>
        <w:trPr>
          <w:trHeight w:val="256"/>
        </w:trPr>
        <w:tc>
          <w:tcPr>
            <w:tcW w:w="2280" w:type="dxa"/>
            <w:vAlign w:val="bottom"/>
          </w:tcPr>
          <w:p>
            <w:pPr>
              <w:jc w:val="center"/>
              <w:ind w:right="31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920" w:type="dxa"/>
            <w:vAlign w:val="bottom"/>
          </w:tcPr>
          <w:p>
            <w:pPr>
              <w:jc w:val="center"/>
              <w:ind w:right="94"/>
              <w:spacing w:after="0"/>
              <w:rPr>
                <w:sz w:val="20"/>
                <w:szCs w:val="20"/>
                <w:color w:val="auto"/>
              </w:rPr>
            </w:pPr>
            <w:r>
              <w:rPr>
                <w:rFonts w:ascii="Times New Roman" w:cs="Times New Roman" w:eastAsia="Times New Roman" w:hAnsi="Times New Roman"/>
                <w:sz w:val="18"/>
                <w:szCs w:val="18"/>
                <w:b w:val="1"/>
                <w:bCs w:val="1"/>
                <w:color w:val="auto"/>
                <w:w w:val="99"/>
              </w:rPr>
              <w:t>001-40880</w:t>
            </w:r>
          </w:p>
        </w:tc>
        <w:tc>
          <w:tcPr>
            <w:tcW w:w="1760" w:type="dxa"/>
            <w:vAlign w:val="bottom"/>
          </w:tcPr>
          <w:p>
            <w:pPr>
              <w:jc w:val="center"/>
              <w:ind w:left="476"/>
              <w:spacing w:after="0"/>
              <w:rPr>
                <w:sz w:val="20"/>
                <w:szCs w:val="20"/>
                <w:color w:val="auto"/>
              </w:rPr>
            </w:pPr>
            <w:r>
              <w:rPr>
                <w:rFonts w:ascii="Times New Roman" w:cs="Times New Roman" w:eastAsia="Times New Roman" w:hAnsi="Times New Roman"/>
                <w:sz w:val="18"/>
                <w:szCs w:val="18"/>
                <w:b w:val="1"/>
                <w:bCs w:val="1"/>
                <w:color w:val="auto"/>
              </w:rPr>
              <w:t>87-1082097</w:t>
            </w:r>
          </w:p>
        </w:tc>
      </w:tr>
      <w:tr>
        <w:trPr>
          <w:trHeight w:val="162"/>
        </w:trPr>
        <w:tc>
          <w:tcPr>
            <w:tcW w:w="2280" w:type="dxa"/>
            <w:vAlign w:val="bottom"/>
          </w:tcPr>
          <w:p>
            <w:pPr>
              <w:jc w:val="center"/>
              <w:ind w:right="316"/>
              <w:spacing w:after="0" w:line="162"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4920" w:type="dxa"/>
            <w:vAlign w:val="bottom"/>
          </w:tcPr>
          <w:p>
            <w:pPr>
              <w:jc w:val="center"/>
              <w:ind w:right="114"/>
              <w:spacing w:after="0" w:line="162" w:lineRule="exact"/>
              <w:rPr>
                <w:sz w:val="20"/>
                <w:szCs w:val="20"/>
                <w:color w:val="auto"/>
              </w:rPr>
            </w:pPr>
            <w:r>
              <w:rPr>
                <w:rFonts w:ascii="Times New Roman" w:cs="Times New Roman" w:eastAsia="Times New Roman" w:hAnsi="Times New Roman"/>
                <w:sz w:val="16"/>
                <w:szCs w:val="16"/>
                <w:color w:val="auto"/>
              </w:rPr>
              <w:t>(Commission</w:t>
            </w:r>
          </w:p>
        </w:tc>
        <w:tc>
          <w:tcPr>
            <w:tcW w:w="1760" w:type="dxa"/>
            <w:vAlign w:val="bottom"/>
          </w:tcPr>
          <w:p>
            <w:pPr>
              <w:jc w:val="center"/>
              <w:ind w:left="476"/>
              <w:spacing w:after="0" w:line="162" w:lineRule="exact"/>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2280" w:type="dxa"/>
            <w:vAlign w:val="bottom"/>
          </w:tcPr>
          <w:p>
            <w:pPr>
              <w:jc w:val="center"/>
              <w:ind w:right="316"/>
              <w:spacing w:after="0"/>
              <w:rPr>
                <w:sz w:val="20"/>
                <w:szCs w:val="20"/>
                <w:color w:val="auto"/>
              </w:rPr>
            </w:pPr>
            <w:r>
              <w:rPr>
                <w:rFonts w:ascii="Times New Roman" w:cs="Times New Roman" w:eastAsia="Times New Roman" w:hAnsi="Times New Roman"/>
                <w:sz w:val="16"/>
                <w:szCs w:val="16"/>
                <w:color w:val="auto"/>
              </w:rPr>
              <w:t>incorporation)</w:t>
            </w:r>
          </w:p>
        </w:tc>
        <w:tc>
          <w:tcPr>
            <w:tcW w:w="4920" w:type="dxa"/>
            <w:vAlign w:val="bottom"/>
          </w:tcPr>
          <w:p>
            <w:pPr>
              <w:jc w:val="center"/>
              <w:ind w:right="114"/>
              <w:spacing w:after="0"/>
              <w:rPr>
                <w:sz w:val="20"/>
                <w:szCs w:val="20"/>
                <w:color w:val="auto"/>
              </w:rPr>
            </w:pPr>
            <w:r>
              <w:rPr>
                <w:rFonts w:ascii="Times New Roman" w:cs="Times New Roman" w:eastAsia="Times New Roman" w:hAnsi="Times New Roman"/>
                <w:sz w:val="16"/>
                <w:szCs w:val="16"/>
                <w:color w:val="auto"/>
              </w:rPr>
              <w:t>File Number)</w:t>
            </w:r>
          </w:p>
        </w:tc>
        <w:tc>
          <w:tcPr>
            <w:tcW w:w="1760" w:type="dxa"/>
            <w:vAlign w:val="bottom"/>
          </w:tcPr>
          <w:p>
            <w:pPr>
              <w:jc w:val="center"/>
              <w:ind w:left="476"/>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537"/>
        </w:trPr>
        <w:tc>
          <w:tcPr>
            <w:tcW w:w="2280" w:type="dxa"/>
            <w:vAlign w:val="bottom"/>
          </w:tcPr>
          <w:p>
            <w:pPr>
              <w:spacing w:after="0"/>
              <w:rPr>
                <w:sz w:val="24"/>
                <w:szCs w:val="24"/>
                <w:color w:val="auto"/>
              </w:rPr>
            </w:pPr>
          </w:p>
        </w:tc>
        <w:tc>
          <w:tcPr>
            <w:tcW w:w="4920" w:type="dxa"/>
            <w:vAlign w:val="bottom"/>
          </w:tcPr>
          <w:p>
            <w:pPr>
              <w:jc w:val="center"/>
              <w:ind w:right="74"/>
              <w:spacing w:after="0"/>
              <w:rPr>
                <w:sz w:val="20"/>
                <w:szCs w:val="20"/>
                <w:color w:val="auto"/>
              </w:rPr>
            </w:pPr>
            <w:r>
              <w:rPr>
                <w:rFonts w:ascii="Times New Roman" w:cs="Times New Roman" w:eastAsia="Times New Roman" w:hAnsi="Times New Roman"/>
                <w:sz w:val="18"/>
                <w:szCs w:val="18"/>
                <w:b w:val="1"/>
                <w:bCs w:val="1"/>
                <w:color w:val="auto"/>
                <w:w w:val="99"/>
              </w:rPr>
              <w:t>1375 West Fulton Street, Suite 1300</w:t>
            </w:r>
          </w:p>
        </w:tc>
        <w:tc>
          <w:tcPr>
            <w:tcW w:w="1760" w:type="dxa"/>
            <w:vAlign w:val="bottom"/>
          </w:tcPr>
          <w:p>
            <w:pPr>
              <w:spacing w:after="0"/>
              <w:rPr>
                <w:sz w:val="24"/>
                <w:szCs w:val="24"/>
                <w:color w:val="auto"/>
              </w:rPr>
            </w:pPr>
          </w:p>
        </w:tc>
      </w:tr>
      <w:tr>
        <w:trPr>
          <w:trHeight w:val="224"/>
        </w:trPr>
        <w:tc>
          <w:tcPr>
            <w:tcW w:w="2280" w:type="dxa"/>
            <w:vAlign w:val="bottom"/>
          </w:tcPr>
          <w:p>
            <w:pPr>
              <w:spacing w:after="0"/>
              <w:rPr>
                <w:sz w:val="19"/>
                <w:szCs w:val="19"/>
                <w:color w:val="auto"/>
              </w:rPr>
            </w:pPr>
          </w:p>
        </w:tc>
        <w:tc>
          <w:tcPr>
            <w:tcW w:w="4920" w:type="dxa"/>
            <w:vAlign w:val="bottom"/>
          </w:tcPr>
          <w:p>
            <w:pPr>
              <w:jc w:val="center"/>
              <w:ind w:right="54"/>
              <w:spacing w:after="0"/>
              <w:rPr>
                <w:sz w:val="20"/>
                <w:szCs w:val="20"/>
                <w:color w:val="auto"/>
              </w:rPr>
            </w:pPr>
            <w:r>
              <w:rPr>
                <w:rFonts w:ascii="Times New Roman" w:cs="Times New Roman" w:eastAsia="Times New Roman" w:hAnsi="Times New Roman"/>
                <w:sz w:val="18"/>
                <w:szCs w:val="18"/>
                <w:b w:val="1"/>
                <w:bCs w:val="1"/>
                <w:color w:val="auto"/>
                <w:w w:val="99"/>
              </w:rPr>
              <w:t>Chicago, Illinois 60607</w:t>
            </w:r>
          </w:p>
        </w:tc>
        <w:tc>
          <w:tcPr>
            <w:tcW w:w="1760" w:type="dxa"/>
            <w:vAlign w:val="bottom"/>
          </w:tcPr>
          <w:p>
            <w:pPr>
              <w:spacing w:after="0"/>
              <w:rPr>
                <w:sz w:val="19"/>
                <w:szCs w:val="19"/>
                <w:color w:val="auto"/>
              </w:rPr>
            </w:pPr>
          </w:p>
        </w:tc>
      </w:tr>
      <w:tr>
        <w:trPr>
          <w:trHeight w:val="210"/>
        </w:trPr>
        <w:tc>
          <w:tcPr>
            <w:tcW w:w="2280" w:type="dxa"/>
            <w:vAlign w:val="bottom"/>
          </w:tcPr>
          <w:p>
            <w:pPr>
              <w:spacing w:after="0"/>
              <w:rPr>
                <w:sz w:val="18"/>
                <w:szCs w:val="18"/>
                <w:color w:val="auto"/>
              </w:rPr>
            </w:pPr>
          </w:p>
        </w:tc>
        <w:tc>
          <w:tcPr>
            <w:tcW w:w="4920" w:type="dxa"/>
            <w:vAlign w:val="bottom"/>
          </w:tcPr>
          <w:p>
            <w:pPr>
              <w:jc w:val="center"/>
              <w:ind w:right="74"/>
              <w:spacing w:after="0"/>
              <w:rPr>
                <w:sz w:val="20"/>
                <w:szCs w:val="20"/>
                <w:color w:val="auto"/>
              </w:rPr>
            </w:pPr>
            <w:r>
              <w:rPr>
                <w:rFonts w:ascii="Times New Roman" w:cs="Times New Roman" w:eastAsia="Times New Roman" w:hAnsi="Times New Roman"/>
                <w:sz w:val="16"/>
                <w:szCs w:val="16"/>
                <w:color w:val="auto"/>
              </w:rPr>
              <w:t>(Address of principal executive offices, including zip code)</w:t>
            </w:r>
          </w:p>
        </w:tc>
        <w:tc>
          <w:tcPr>
            <w:tcW w:w="1760" w:type="dxa"/>
            <w:vAlign w:val="bottom"/>
          </w:tcPr>
          <w:p>
            <w:pPr>
              <w:spacing w:after="0"/>
              <w:rPr>
                <w:sz w:val="18"/>
                <w:szCs w:val="18"/>
                <w:color w:val="auto"/>
              </w:rPr>
            </w:pPr>
          </w:p>
        </w:tc>
      </w:tr>
      <w:tr>
        <w:trPr>
          <w:trHeight w:val="438"/>
        </w:trPr>
        <w:tc>
          <w:tcPr>
            <w:tcW w:w="2280" w:type="dxa"/>
            <w:vAlign w:val="bottom"/>
          </w:tcPr>
          <w:p>
            <w:pPr>
              <w:spacing w:after="0"/>
              <w:rPr>
                <w:sz w:val="24"/>
                <w:szCs w:val="24"/>
                <w:color w:val="auto"/>
              </w:rPr>
            </w:pPr>
          </w:p>
        </w:tc>
        <w:tc>
          <w:tcPr>
            <w:tcW w:w="4920" w:type="dxa"/>
            <w:vAlign w:val="bottom"/>
          </w:tcPr>
          <w:p>
            <w:pPr>
              <w:jc w:val="center"/>
              <w:ind w:right="74"/>
              <w:spacing w:after="0"/>
              <w:rPr>
                <w:sz w:val="20"/>
                <w:szCs w:val="20"/>
                <w:color w:val="auto"/>
              </w:rPr>
            </w:pPr>
            <w:r>
              <w:rPr>
                <w:rFonts w:ascii="Times New Roman" w:cs="Times New Roman" w:eastAsia="Times New Roman" w:hAnsi="Times New Roman"/>
                <w:sz w:val="18"/>
                <w:szCs w:val="18"/>
                <w:b w:val="1"/>
                <w:bCs w:val="1"/>
                <w:color w:val="auto"/>
                <w:w w:val="99"/>
              </w:rPr>
              <w:t>(844) 445-5704</w:t>
            </w:r>
          </w:p>
        </w:tc>
        <w:tc>
          <w:tcPr>
            <w:tcW w:w="1760" w:type="dxa"/>
            <w:vAlign w:val="bottom"/>
          </w:tcPr>
          <w:p>
            <w:pPr>
              <w:spacing w:after="0"/>
              <w:rPr>
                <w:sz w:val="24"/>
                <w:szCs w:val="24"/>
                <w:color w:val="auto"/>
              </w:rPr>
            </w:pPr>
          </w:p>
        </w:tc>
      </w:tr>
      <w:tr>
        <w:trPr>
          <w:trHeight w:val="210"/>
        </w:trPr>
        <w:tc>
          <w:tcPr>
            <w:tcW w:w="2280" w:type="dxa"/>
            <w:vAlign w:val="bottom"/>
          </w:tcPr>
          <w:p>
            <w:pPr>
              <w:spacing w:after="0"/>
              <w:rPr>
                <w:sz w:val="18"/>
                <w:szCs w:val="18"/>
                <w:color w:val="auto"/>
              </w:rPr>
            </w:pPr>
          </w:p>
        </w:tc>
        <w:tc>
          <w:tcPr>
            <w:tcW w:w="4920" w:type="dxa"/>
            <w:vAlign w:val="bottom"/>
          </w:tcPr>
          <w:p>
            <w:pPr>
              <w:jc w:val="center"/>
              <w:ind w:right="54"/>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1760" w:type="dxa"/>
            <w:vAlign w:val="bottom"/>
          </w:tcPr>
          <w:p>
            <w:pPr>
              <w:spacing w:after="0"/>
              <w:rPr>
                <w:sz w:val="18"/>
                <w:szCs w:val="18"/>
                <w:color w:val="auto"/>
              </w:rPr>
            </w:pPr>
          </w:p>
        </w:tc>
      </w:tr>
      <w:tr>
        <w:trPr>
          <w:trHeight w:val="451"/>
        </w:trPr>
        <w:tc>
          <w:tcPr>
            <w:tcW w:w="2280" w:type="dxa"/>
            <w:vAlign w:val="bottom"/>
          </w:tcPr>
          <w:p>
            <w:pPr>
              <w:spacing w:after="0"/>
              <w:rPr>
                <w:sz w:val="24"/>
                <w:szCs w:val="24"/>
                <w:color w:val="auto"/>
              </w:rPr>
            </w:pPr>
          </w:p>
        </w:tc>
        <w:tc>
          <w:tcPr>
            <w:tcW w:w="4920" w:type="dxa"/>
            <w:vAlign w:val="bottom"/>
          </w:tcPr>
          <w:p>
            <w:pPr>
              <w:jc w:val="center"/>
              <w:ind w:right="74"/>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760" w:type="dxa"/>
            <w:vAlign w:val="bottom"/>
          </w:tcPr>
          <w:p>
            <w:pPr>
              <w:spacing w:after="0"/>
              <w:rPr>
                <w:sz w:val="24"/>
                <w:szCs w:val="24"/>
                <w:color w:val="auto"/>
              </w:rPr>
            </w:pPr>
          </w:p>
        </w:tc>
      </w:tr>
      <w:tr>
        <w:trPr>
          <w:trHeight w:val="210"/>
        </w:trPr>
        <w:tc>
          <w:tcPr>
            <w:tcW w:w="2280" w:type="dxa"/>
            <w:vAlign w:val="bottom"/>
          </w:tcPr>
          <w:p>
            <w:pPr>
              <w:spacing w:after="0"/>
              <w:rPr>
                <w:sz w:val="18"/>
                <w:szCs w:val="18"/>
                <w:color w:val="auto"/>
              </w:rPr>
            </w:pPr>
          </w:p>
        </w:tc>
        <w:tc>
          <w:tcPr>
            <w:tcW w:w="4920" w:type="dxa"/>
            <w:vAlign w:val="bottom"/>
          </w:tcPr>
          <w:p>
            <w:pPr>
              <w:jc w:val="center"/>
              <w:ind w:right="54"/>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tc>
        <w:tc>
          <w:tcPr>
            <w:tcW w:w="1760" w:type="dxa"/>
            <w:vAlign w:val="bottom"/>
          </w:tcPr>
          <w:p>
            <w:pPr>
              <w:spacing w:after="0"/>
              <w:rPr>
                <w:sz w:val="18"/>
                <w:szCs w:val="18"/>
                <w:color w:val="auto"/>
              </w:rPr>
            </w:pPr>
          </w:p>
        </w:tc>
      </w:tr>
    </w:tbl>
    <w:p>
      <w:pPr>
        <w:spacing w:after="0" w:line="100"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84" w:lineRule="exact"/>
        <w:rPr>
          <w:sz w:val="24"/>
          <w:szCs w:val="24"/>
          <w:color w:val="auto"/>
        </w:rPr>
      </w:pPr>
    </w:p>
    <w:p>
      <w:pPr>
        <w:ind w:left="700" w:hanging="627"/>
        <w:spacing w:after="0"/>
        <w:tabs>
          <w:tab w:leader="none" w:pos="700" w:val="left"/>
        </w:tabs>
        <w:numPr>
          <w:ilvl w:val="0"/>
          <w:numId w:val="1"/>
        </w:numPr>
        <w:rPr>
          <w:rFonts w:ascii="MS PGothic" w:cs="MS PGothic" w:eastAsia="MS PGothic" w:hAnsi="MS PGothic"/>
          <w:sz w:val="32"/>
          <w:szCs w:val="32"/>
          <w:color w:val="auto"/>
          <w:vertAlign w:val="superscript"/>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31" w:lineRule="exact"/>
        <w:rPr>
          <w:rFonts w:ascii="MS PGothic" w:cs="MS PGothic" w:eastAsia="MS PGothic" w:hAnsi="MS PGothic"/>
          <w:sz w:val="32"/>
          <w:szCs w:val="32"/>
          <w:color w:val="auto"/>
          <w:vertAlign w:val="superscript"/>
        </w:rPr>
      </w:pPr>
    </w:p>
    <w:p>
      <w:pPr>
        <w:ind w:left="700" w:hanging="627"/>
        <w:spacing w:after="0" w:line="184" w:lineRule="auto"/>
        <w:tabs>
          <w:tab w:leader="none" w:pos="700" w:val="left"/>
        </w:tabs>
        <w:numPr>
          <w:ilvl w:val="0"/>
          <w:numId w:val="1"/>
        </w:numPr>
        <w:rPr>
          <w:rFonts w:ascii="MS PGothic" w:cs="MS PGothic" w:eastAsia="MS PGothic" w:hAnsi="MS PGothic"/>
          <w:sz w:val="25"/>
          <w:szCs w:val="25"/>
          <w:color w:val="auto"/>
          <w:vertAlign w:val="superscript"/>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32" w:lineRule="exact"/>
        <w:rPr>
          <w:rFonts w:ascii="MS PGothic" w:cs="MS PGothic" w:eastAsia="MS PGothic" w:hAnsi="MS PGothic"/>
          <w:sz w:val="25"/>
          <w:szCs w:val="25"/>
          <w:color w:val="auto"/>
          <w:vertAlign w:val="superscript"/>
        </w:rPr>
      </w:pPr>
    </w:p>
    <w:p>
      <w:pPr>
        <w:ind w:left="700" w:hanging="627"/>
        <w:spacing w:after="0" w:line="184" w:lineRule="auto"/>
        <w:tabs>
          <w:tab w:leader="none" w:pos="700" w:val="left"/>
        </w:tabs>
        <w:numPr>
          <w:ilvl w:val="0"/>
          <w:numId w:val="1"/>
        </w:numPr>
        <w:rPr>
          <w:rFonts w:ascii="MS PGothic" w:cs="MS PGothic" w:eastAsia="MS PGothic" w:hAnsi="MS PGothic"/>
          <w:sz w:val="25"/>
          <w:szCs w:val="25"/>
          <w:color w:val="auto"/>
          <w:vertAlign w:val="superscript"/>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32" w:lineRule="exact"/>
        <w:rPr>
          <w:rFonts w:ascii="MS PGothic" w:cs="MS PGothic" w:eastAsia="MS PGothic" w:hAnsi="MS PGothic"/>
          <w:sz w:val="25"/>
          <w:szCs w:val="25"/>
          <w:color w:val="auto"/>
          <w:vertAlign w:val="superscript"/>
        </w:rPr>
      </w:pPr>
    </w:p>
    <w:p>
      <w:pPr>
        <w:ind w:left="3760" w:right="3300" w:hanging="3687"/>
        <w:spacing w:after="0" w:line="274" w:lineRule="auto"/>
        <w:tabs>
          <w:tab w:leader="none" w:pos="697" w:val="left"/>
        </w:tabs>
        <w:numPr>
          <w:ilvl w:val="0"/>
          <w:numId w:val="1"/>
        </w:numPr>
        <w:rPr>
          <w:rFonts w:ascii="MS PGothic" w:cs="MS PGothic" w:eastAsia="MS PGothic" w:hAnsi="MS PGothic"/>
          <w:sz w:val="32"/>
          <w:szCs w:val="32"/>
          <w:color w:val="auto"/>
          <w:vertAlign w:val="superscript"/>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tbl>
      <w:tblPr>
        <w:tblLayout w:type="fixed"/>
        <w:tblInd w:w="70" w:type="dxa"/>
        <w:tblCellMar>
          <w:top w:w="0" w:type="dxa"/>
          <w:left w:w="0" w:type="dxa"/>
          <w:bottom w:w="0" w:type="dxa"/>
          <w:right w:w="0" w:type="dxa"/>
        </w:tblCellMar>
      </w:tblPr>
      <w:tr>
        <w:trPr>
          <w:trHeight w:val="194"/>
        </w:trPr>
        <w:tc>
          <w:tcPr>
            <w:tcW w:w="45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6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3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9"/>
        </w:trPr>
        <w:tc>
          <w:tcPr>
            <w:tcW w:w="4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XERS</w:t>
            </w:r>
          </w:p>
        </w:tc>
        <w:tc>
          <w:tcPr>
            <w:tcW w:w="3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bl>
    <w:p>
      <w:pPr>
        <w:spacing w:after="0" w:line="243" w:lineRule="exact"/>
        <w:rPr>
          <w:sz w:val="24"/>
          <w:szCs w:val="24"/>
          <w:color w:val="auto"/>
        </w:rPr>
      </w:pPr>
    </w:p>
    <w:p>
      <w:pPr>
        <w:ind w:left="80" w:right="80"/>
        <w:spacing w:after="0" w:line="245"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200" w:lineRule="exact"/>
        <w:rPr>
          <w:sz w:val="24"/>
          <w:szCs w:val="24"/>
          <w:color w:val="auto"/>
        </w:rPr>
      </w:pPr>
    </w:p>
    <w:p>
      <w:pPr>
        <w:spacing w:after="0" w:line="243"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pacing w:after="0" w:line="271" w:lineRule="exact"/>
        <w:rPr>
          <w:sz w:val="24"/>
          <w:szCs w:val="24"/>
          <w:color w:val="auto"/>
        </w:rPr>
      </w:pPr>
    </w:p>
    <w:p>
      <w:pPr>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935355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6, 2025, Xeris Biopharma Holdings, Inc. (the “Company”) issued a press release containing information about the Company’s results of operations and business highlights for the three and twelve months ended December 31, 2024. A copy of this press release is furnished as Exhibit 99.1 to this Current Report on Form 8-K.</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including Exhibit 99.1, is being furnished and shall not be deemed to be “filed” for purposes of Section 18 of the Securities Exchange Act of 1934, as amended (the “Exchange Act”), or otherwise subject to the liabilities of that section and shall not be deemed incorporated by reference into any registration statement or other document filed pursuant to the Securities Act of 1933, as amended, or the Exchange Act, except as expressly set forth by specific reference in such filing.</w:t>
      </w:r>
    </w:p>
    <w:p>
      <w:pPr>
        <w:spacing w:after="0" w:line="29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10"/>
        </w:trPr>
        <w:tc>
          <w:tcPr>
            <w:tcW w:w="18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4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6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10"/>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Press release,</w:t>
            </w:r>
          </w:p>
        </w:tc>
        <w:tc>
          <w:tcPr>
            <w:tcW w:w="1440" w:type="dxa"/>
            <w:vAlign w:val="bottom"/>
            <w:tcBorders>
              <w:bottom w:val="single" w:sz="8" w:color="0000FF"/>
            </w:tcBorders>
          </w:tcPr>
          <w:p>
            <w:pPr>
              <w:ind w:left="40"/>
              <w:spacing w:after="0" w:line="196" w:lineRule="exact"/>
              <w:rPr>
                <w:sz w:val="20"/>
                <w:szCs w:val="20"/>
                <w:color w:val="auto"/>
              </w:rPr>
            </w:pPr>
            <w:r>
              <w:rPr>
                <w:rFonts w:ascii="Times New Roman" w:cs="Times New Roman" w:eastAsia="Times New Roman" w:hAnsi="Times New Roman"/>
                <w:sz w:val="18"/>
                <w:szCs w:val="18"/>
                <w:color w:val="0000FF"/>
                <w:w w:val="98"/>
              </w:rPr>
              <w:t>dated March 6, 202</w:t>
            </w:r>
          </w:p>
        </w:tc>
        <w:tc>
          <w:tcPr>
            <w:tcW w:w="140" w:type="dxa"/>
            <w:vAlign w:val="bottom"/>
            <w:tcBorders>
              <w:bottom w:val="single" w:sz="8" w:color="0000FF"/>
            </w:tcBorders>
          </w:tcPr>
          <w:p>
            <w:pPr>
              <w:jc w:val="right"/>
              <w:spacing w:after="0" w:line="196" w:lineRule="exact"/>
              <w:rPr>
                <w:sz w:val="20"/>
                <w:szCs w:val="20"/>
                <w:color w:val="auto"/>
              </w:rPr>
            </w:pPr>
            <w:r>
              <w:rPr>
                <w:rFonts w:ascii="Times New Roman" w:cs="Times New Roman" w:eastAsia="Times New Roman" w:hAnsi="Times New Roman"/>
                <w:sz w:val="18"/>
                <w:szCs w:val="18"/>
                <w:color w:val="0000FF"/>
                <w:w w:val="88"/>
              </w:rPr>
              <w:t>5,</w:t>
            </w:r>
          </w:p>
        </w:tc>
        <w:tc>
          <w:tcPr>
            <w:tcW w:w="40" w:type="dxa"/>
            <w:vAlign w:val="bottom"/>
          </w:tcPr>
          <w:p>
            <w:pPr>
              <w:spacing w:after="0"/>
              <w:rPr>
                <w:sz w:val="18"/>
                <w:szCs w:val="18"/>
                <w:color w:val="auto"/>
              </w:rPr>
            </w:pPr>
          </w:p>
        </w:tc>
        <w:tc>
          <w:tcPr>
            <w:tcW w:w="538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regarding the Company's fourth quarter and full year 2024 financial results</w:t>
            </w:r>
          </w:p>
        </w:tc>
        <w:tc>
          <w:tcPr>
            <w:tcW w:w="1420" w:type="dxa"/>
            <w:vAlign w:val="bottom"/>
          </w:tcPr>
          <w:p>
            <w:pPr>
              <w:spacing w:after="0"/>
              <w:rPr>
                <w:sz w:val="18"/>
                <w:szCs w:val="18"/>
                <w:color w:val="auto"/>
              </w:rPr>
            </w:pPr>
          </w:p>
        </w:tc>
      </w:tr>
      <w:tr>
        <w:trPr>
          <w:trHeight w:val="277"/>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87"/>
        </w:trPr>
        <w:tc>
          <w:tcPr>
            <w:tcW w:w="6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-890905</wp:posOffset>
            </wp:positionV>
            <wp:extent cx="285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 w:name="page3"/>
    <w:bookmarkEnd w:id="2"/>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5" w:lineRule="exact"/>
        <w:rPr>
          <w:sz w:val="20"/>
          <w:szCs w:val="20"/>
          <w:color w:val="auto"/>
        </w:rPr>
      </w:pPr>
    </w:p>
    <w:p>
      <w:pPr>
        <w:ind w:left="20"/>
        <w:spacing w:after="0"/>
        <w:tabs>
          <w:tab w:leader="none" w:pos="6420" w:val="left"/>
        </w:tabs>
        <w:rPr>
          <w:sz w:val="20"/>
          <w:szCs w:val="20"/>
          <w:color w:val="auto"/>
        </w:rPr>
      </w:pPr>
      <w:r>
        <w:rPr>
          <w:rFonts w:ascii="Times New Roman" w:cs="Times New Roman" w:eastAsia="Times New Roman" w:hAnsi="Times New Roman"/>
          <w:sz w:val="18"/>
          <w:szCs w:val="18"/>
          <w:color w:val="auto"/>
        </w:rPr>
        <w:t>Date: March 6, 2025</w:t>
      </w:r>
      <w:r>
        <w:rPr>
          <w:sz w:val="20"/>
          <w:szCs w:val="20"/>
          <w:color w:val="auto"/>
        </w:rPr>
        <w:tab/>
      </w:r>
      <w:r>
        <w:rPr>
          <w:rFonts w:ascii="Times New Roman" w:cs="Times New Roman" w:eastAsia="Times New Roman" w:hAnsi="Times New Roman"/>
          <w:sz w:val="17"/>
          <w:szCs w:val="17"/>
          <w:b w:val="1"/>
          <w:bCs w:val="1"/>
          <w:color w:val="auto"/>
        </w:rPr>
        <w:t>Xeris Biopharma Holdings, Inc.</w:t>
      </w:r>
    </w:p>
    <w:p>
      <w:pPr>
        <w:spacing w:after="0" w:line="175" w:lineRule="exact"/>
        <w:rPr>
          <w:sz w:val="20"/>
          <w:szCs w:val="20"/>
          <w:color w:val="auto"/>
        </w:rPr>
      </w:pPr>
    </w:p>
    <w:p>
      <w:pPr>
        <w:ind w:left="6440"/>
        <w:spacing w:after="0"/>
        <w:tabs>
          <w:tab w:leader="none" w:pos="68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Steven M. Pieper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4352290</wp:posOffset>
            </wp:positionH>
            <wp:positionV relativeFrom="paragraph">
              <wp:posOffset>17145</wp:posOffset>
            </wp:positionV>
            <wp:extent cx="22974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Name: Steven M. Pieper</w:t>
      </w:r>
    </w:p>
    <w:p>
      <w:pPr>
        <w:spacing w:after="0" w:line="2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1">
            <w:col w:w="10260"/>
          </w:cols>
          <w:pgMar w:left="980" w:top="887"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1577340" cy="5314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7734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XERIS BIOPHARMA DELIVERS RECORD FOURTH QUARTER AND FULL-YEAR 2024 RESULTS; AND ANNOUNCES 2025 GUIDANCE</w:t>
      </w:r>
    </w:p>
    <w:p>
      <w:pPr>
        <w:spacing w:after="0" w:line="200" w:lineRule="exact"/>
        <w:rPr>
          <w:sz w:val="20"/>
          <w:szCs w:val="20"/>
          <w:color w:val="auto"/>
        </w:rPr>
      </w:pPr>
    </w:p>
    <w:p>
      <w:pPr>
        <w:spacing w:after="0" w:line="268" w:lineRule="exact"/>
        <w:rPr>
          <w:sz w:val="20"/>
          <w:szCs w:val="20"/>
          <w:color w:val="auto"/>
        </w:rPr>
      </w:pPr>
    </w:p>
    <w:p>
      <w:pPr>
        <w:jc w:val="center"/>
        <w:spacing w:after="0" w:line="381" w:lineRule="auto"/>
        <w:rPr>
          <w:sz w:val="20"/>
          <w:szCs w:val="20"/>
          <w:color w:val="auto"/>
        </w:rPr>
      </w:pPr>
      <w:r>
        <w:rPr>
          <w:rFonts w:ascii="Arial" w:cs="Arial" w:eastAsia="Arial" w:hAnsi="Arial"/>
          <w:sz w:val="18"/>
          <w:szCs w:val="18"/>
          <w:i w:val="1"/>
          <w:iCs w:val="1"/>
          <w:color w:val="auto"/>
        </w:rPr>
        <w:t>Achieved record quarterly and full-year total revenue of $60M and $203M, growing 35% and 24% versus prior year Recorlev</w:t>
      </w:r>
      <w:r>
        <w:rPr>
          <w:rFonts w:ascii="Arial" w:cs="Arial" w:eastAsia="Arial" w:hAnsi="Arial"/>
          <w:sz w:val="18"/>
          <w:szCs w:val="18"/>
          <w:color w:val="auto"/>
        </w:rPr>
        <w:t>®</w:t>
      </w:r>
      <w:r>
        <w:rPr>
          <w:rFonts w:ascii="Arial" w:cs="Arial" w:eastAsia="Arial" w:hAnsi="Arial"/>
          <w:sz w:val="18"/>
          <w:szCs w:val="18"/>
          <w:i w:val="1"/>
          <w:iCs w:val="1"/>
          <w:color w:val="auto"/>
        </w:rPr>
        <w:t xml:space="preserve"> revenue more than doubled versus prior year and grew 28% in the fourth quarter sequentially Ended Q4 with over $71M in cash, generating $2M in cash in the fourth quarter Provides full-year 2025 total revenue guidance of $255M-$275M, representing a growth of over 30% at the mid-point of the range Hosting conference call and webcast today at 8:30 a.m. ET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CHICAGO, IL; March 6, 2025 </w:t>
      </w:r>
      <w:r>
        <w:rPr>
          <w:rFonts w:ascii="Arial" w:cs="Arial" w:eastAsia="Arial" w:hAnsi="Arial"/>
          <w:sz w:val="18"/>
          <w:szCs w:val="18"/>
          <w:color w:val="auto"/>
        </w:rPr>
        <w:t>– Xeris Biopharma Holdings, Inc. (Nasdaq: XERS), a fast-growing biopharmaceutical company committed to</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improving patient lives by developing and commercializing innovative products across a range of therapies, today announced financial results for the fourth quarter and full-year ended December 31, 2024 and provides full-year 2025 financial guidance.</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Xeris team executed an exceptional 2024 with record revenue topping $ 203 million,” said John Shannon, Xeris’ Chief Executive Officer. “The continued momentum of our commercial business, our exciting pipeline, along with our unrelenting focus on execution will enable Xeris to create even more value for patients and shareholders.”</w:t>
      </w:r>
    </w:p>
    <w:p>
      <w:pPr>
        <w:spacing w:after="0" w:line="19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“Xeris has never been financially stronger. Record quarterly revenue exceeding $60 million drove positive cash flow of $2 million in the fourth quarter and generated Adjusted EBITDA of over $8 million,” said Steven M. Pieper, Chief Financial Officer. “We expect 2025 total revenue of $255 to $275 million, which is over 30% growth at the mid-point. Further, we anticipate Adjusted EBITDA will remain positive going forward. Our accelerating revenue growth, coupled with our attractive and improving margin profile and disciplined capital allocation, will result in a financially transformative 2025 for Xeris.”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Fourth Quarter 2024 Highlights</w:t>
            </w: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2660" w:type="dxa"/>
            <w:vAlign w:val="bottom"/>
            <w:tcBorders>
              <w:top w:val="single" w:sz="8" w:color="auto"/>
            </w:tcBorders>
          </w:tcPr>
          <w:p>
            <w:pPr>
              <w:spacing w:after="0"/>
              <w:rPr>
                <w:sz w:val="24"/>
                <w:szCs w:val="24"/>
                <w:color w:val="auto"/>
              </w:rPr>
            </w:pPr>
          </w:p>
        </w:tc>
        <w:tc>
          <w:tcPr>
            <w:tcW w:w="1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00" w:type="dxa"/>
            <w:vAlign w:val="bottom"/>
            <w:gridSpan w:val="5"/>
          </w:tcPr>
          <w:p>
            <w:pPr>
              <w:ind w:left="40"/>
              <w:spacing w:after="0"/>
              <w:rPr>
                <w:sz w:val="20"/>
                <w:szCs w:val="20"/>
                <w:color w:val="auto"/>
              </w:rPr>
            </w:pPr>
            <w:r>
              <w:rPr>
                <w:rFonts w:ascii="Arial" w:cs="Arial" w:eastAsia="Arial" w:hAnsi="Arial"/>
                <w:sz w:val="18"/>
                <w:szCs w:val="18"/>
                <w:b w:val="1"/>
                <w:bCs w:val="1"/>
                <w:color w:val="auto"/>
              </w:rPr>
              <w:t>Three months ended December 31,</w:t>
            </w:r>
          </w:p>
        </w:tc>
        <w:tc>
          <w:tcPr>
            <w:tcW w:w="440" w:type="dxa"/>
            <w:vAlign w:val="bottom"/>
          </w:tcPr>
          <w:p>
            <w:pPr>
              <w:spacing w:after="0"/>
              <w:rPr>
                <w:sz w:val="24"/>
                <w:szCs w:val="24"/>
                <w:color w:val="auto"/>
              </w:rPr>
            </w:pPr>
          </w:p>
        </w:tc>
        <w:tc>
          <w:tcPr>
            <w:tcW w:w="1700" w:type="dxa"/>
            <w:vAlign w:val="bottom"/>
            <w:gridSpan w:val="2"/>
          </w:tcPr>
          <w:p>
            <w:pPr>
              <w:ind w:left="840"/>
              <w:spacing w:after="0"/>
              <w:rPr>
                <w:sz w:val="20"/>
                <w:szCs w:val="20"/>
                <w:color w:val="auto"/>
              </w:rPr>
            </w:pPr>
            <w:r>
              <w:rPr>
                <w:rFonts w:ascii="Arial" w:cs="Arial" w:eastAsia="Arial" w:hAnsi="Arial"/>
                <w:sz w:val="18"/>
                <w:szCs w:val="18"/>
                <w:b w:val="1"/>
                <w:bCs w:val="1"/>
                <w:color w:val="auto"/>
              </w:rPr>
              <w:t>Change</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80" w:type="dxa"/>
            <w:vAlign w:val="bottom"/>
            <w:gridSpan w:val="2"/>
            <w:vMerge w:val="restart"/>
          </w:tcPr>
          <w:p>
            <w:pPr>
              <w:ind w:left="20"/>
              <w:spacing w:after="0"/>
              <w:rPr>
                <w:sz w:val="20"/>
                <w:szCs w:val="20"/>
                <w:color w:val="auto"/>
              </w:rPr>
            </w:pPr>
            <w:r>
              <w:rPr>
                <w:rFonts w:ascii="Arial" w:cs="Arial" w:eastAsia="Arial" w:hAnsi="Arial"/>
                <w:sz w:val="18"/>
                <w:szCs w:val="18"/>
                <w:color w:val="auto"/>
              </w:rPr>
              <w:t>Product revenue (in thousands):</w:t>
            </w:r>
          </w:p>
        </w:tc>
        <w:tc>
          <w:tcPr>
            <w:tcW w:w="14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top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w:t>
            </w:r>
          </w:p>
        </w:tc>
        <w:tc>
          <w:tcPr>
            <w:tcW w:w="52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4"/>
        </w:trPr>
        <w:tc>
          <w:tcPr>
            <w:tcW w:w="45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580" w:type="dxa"/>
            <w:vAlign w:val="bottom"/>
            <w:gridSpan w:val="2"/>
          </w:tcPr>
          <w:p>
            <w:pPr>
              <w:ind w:left="140"/>
              <w:spacing w:after="0"/>
              <w:rPr>
                <w:sz w:val="20"/>
                <w:szCs w:val="20"/>
                <w:color w:val="auto"/>
              </w:rPr>
            </w:pPr>
            <w:r>
              <w:rPr>
                <w:rFonts w:ascii="Arial" w:cs="Arial" w:eastAsia="Arial" w:hAnsi="Arial"/>
                <w:sz w:val="18"/>
                <w:szCs w:val="18"/>
                <w:color w:val="auto"/>
              </w:rPr>
              <w:t>Gvoke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23,262</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18,639</w:t>
            </w:r>
          </w:p>
        </w:tc>
        <w:tc>
          <w:tcPr>
            <w:tcW w:w="10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4,623</w:t>
            </w:r>
          </w:p>
        </w:tc>
        <w:tc>
          <w:tcPr>
            <w:tcW w:w="5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56"/>
        </w:trPr>
        <w:tc>
          <w:tcPr>
            <w:tcW w:w="4580" w:type="dxa"/>
            <w:vAlign w:val="bottom"/>
            <w:gridSpan w:val="2"/>
          </w:tcPr>
          <w:p>
            <w:pPr>
              <w:ind w:left="140"/>
              <w:spacing w:after="0"/>
              <w:rPr>
                <w:sz w:val="20"/>
                <w:szCs w:val="20"/>
                <w:color w:val="auto"/>
              </w:rPr>
            </w:pPr>
            <w:r>
              <w:rPr>
                <w:rFonts w:ascii="Arial" w:cs="Arial" w:eastAsia="Arial" w:hAnsi="Arial"/>
                <w:sz w:val="18"/>
                <w:szCs w:val="18"/>
                <w:color w:val="auto"/>
              </w:rPr>
              <w:t>Recorlev</w:t>
            </w:r>
          </w:p>
        </w:tc>
        <w:tc>
          <w:tcPr>
            <w:tcW w:w="14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22,614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9,806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12,808</w:t>
            </w:r>
          </w:p>
        </w:tc>
        <w:tc>
          <w:tcPr>
            <w:tcW w:w="5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130.6</w:t>
            </w:r>
          </w:p>
        </w:tc>
        <w:tc>
          <w:tcPr>
            <w:tcW w:w="0" w:type="dxa"/>
            <w:vAlign w:val="bottom"/>
          </w:tcPr>
          <w:p>
            <w:pPr>
              <w:spacing w:after="0"/>
              <w:rPr>
                <w:sz w:val="1"/>
                <w:szCs w:val="1"/>
                <w:color w:val="auto"/>
              </w:rPr>
            </w:pPr>
          </w:p>
        </w:tc>
      </w:tr>
      <w:tr>
        <w:trPr>
          <w:trHeight w:val="260"/>
        </w:trPr>
        <w:tc>
          <w:tcPr>
            <w:tcW w:w="4580" w:type="dxa"/>
            <w:vAlign w:val="bottom"/>
            <w:gridSpan w:val="2"/>
          </w:tcPr>
          <w:p>
            <w:pPr>
              <w:ind w:left="140"/>
              <w:spacing w:after="0"/>
              <w:rPr>
                <w:sz w:val="20"/>
                <w:szCs w:val="20"/>
                <w:color w:val="auto"/>
              </w:rPr>
            </w:pPr>
            <w:r>
              <w:rPr>
                <w:rFonts w:ascii="Arial" w:cs="Arial" w:eastAsia="Arial" w:hAnsi="Arial"/>
                <w:sz w:val="18"/>
                <w:szCs w:val="18"/>
                <w:color w:val="auto"/>
              </w:rPr>
              <w:t>Keveyis</w:t>
            </w:r>
          </w:p>
        </w:tc>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11,124</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14,064</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(2,940)</w:t>
            </w:r>
          </w:p>
        </w:tc>
        <w:tc>
          <w:tcPr>
            <w:tcW w:w="5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50"/>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Product revenue, net</w:t>
            </w:r>
          </w:p>
        </w:tc>
        <w:tc>
          <w:tcPr>
            <w:tcW w:w="1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57,000</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42,509</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14,491</w:t>
            </w: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50"/>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Royalty, contract and other revenue</w:t>
            </w:r>
          </w:p>
        </w:tc>
        <w:tc>
          <w:tcPr>
            <w:tcW w:w="1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3,099</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1,881</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w:t>
            </w: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52"/>
        </w:trPr>
        <w:tc>
          <w:tcPr>
            <w:tcW w:w="4580" w:type="dxa"/>
            <w:vAlign w:val="bottom"/>
            <w:gridSpan w:val="2"/>
          </w:tcPr>
          <w:p>
            <w:pPr>
              <w:ind w:left="140"/>
              <w:spacing w:after="0"/>
              <w:rPr>
                <w:sz w:val="20"/>
                <w:szCs w:val="20"/>
                <w:color w:val="auto"/>
              </w:rPr>
            </w:pPr>
            <w:r>
              <w:rPr>
                <w:rFonts w:ascii="Arial" w:cs="Arial" w:eastAsia="Arial" w:hAnsi="Arial"/>
                <w:sz w:val="18"/>
                <w:szCs w:val="18"/>
                <w:color w:val="auto"/>
              </w:rPr>
              <w:t>Total revenue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60,099</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44,390</w:t>
            </w:r>
          </w:p>
        </w:tc>
        <w:tc>
          <w:tcPr>
            <w:tcW w:w="100" w:type="dxa"/>
            <w:vAlign w:val="bottom"/>
          </w:tcPr>
          <w:p>
            <w:pPr>
              <w:spacing w:after="0"/>
              <w:rPr>
                <w:sz w:val="21"/>
                <w:szCs w:val="21"/>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15,709</w:t>
            </w: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5"/>
        </w:trPr>
        <w:tc>
          <w:tcPr>
            <w:tcW w:w="26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jc w:val="both"/>
        <w:ind w:left="660" w:hanging="328"/>
        <w:spacing w:after="0" w:line="253"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Gvoke®</w:t>
      </w:r>
      <w:r>
        <w:rPr>
          <w:rFonts w:ascii="Arial" w:cs="Arial" w:eastAsia="Arial" w:hAnsi="Arial"/>
          <w:sz w:val="18"/>
          <w:szCs w:val="18"/>
          <w:color w:val="auto"/>
        </w:rPr>
        <w:t>: Fourth quarter net revenue was $23.3 million – an increase of approximately 25% compared to the fourth quarter of 2023.</w:t>
      </w:r>
      <w:r>
        <w:rPr>
          <w:rFonts w:ascii="Arial" w:cs="Arial" w:eastAsia="Arial" w:hAnsi="Arial"/>
          <w:sz w:val="18"/>
          <w:szCs w:val="18"/>
          <w:b w:val="1"/>
          <w:bCs w:val="1"/>
          <w:color w:val="auto"/>
        </w:rPr>
        <w:t xml:space="preserve"> </w:t>
      </w:r>
      <w:r>
        <w:rPr>
          <w:rFonts w:ascii="Arial" w:cs="Arial" w:eastAsia="Arial" w:hAnsi="Arial"/>
          <w:sz w:val="18"/>
          <w:szCs w:val="18"/>
          <w:color w:val="auto"/>
        </w:rPr>
        <w:t>Gvoke prescriptions grew 18% compared to the same period in 2023. Gvoke’s share of the retail prescriptions glucagon market averaged 35% in the fourth quarter.</w:t>
      </w: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998" w:right="339" w:bottom="1440" w:gutter="0" w:footer="0" w:header="0"/>
        </w:sectPr>
      </w:pPr>
    </w:p>
    <w:bookmarkStart w:id="4" w:name="page5"/>
    <w:bookmarkEnd w:id="4"/>
    <w:p>
      <w:pPr>
        <w:jc w:val="both"/>
        <w:ind w:left="660" w:hanging="328"/>
        <w:spacing w:after="0" w:line="25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Recorlev®</w:t>
      </w:r>
      <w:r>
        <w:rPr>
          <w:rFonts w:ascii="Arial" w:cs="Arial" w:eastAsia="Arial" w:hAnsi="Arial"/>
          <w:sz w:val="18"/>
          <w:szCs w:val="18"/>
          <w:color w:val="auto"/>
        </w:rPr>
        <w:t>: Fourth quarter net revenue was $22.6 million – an increase of approximately 131% compared to the fourth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2023. This growth was driven by the average number of patients on Recorlev increasing 123% from the same period in 2023. On a sequential basis, Recorlev net revenue increased $4.9 million or 28% versus the prior quarter.</w:t>
      </w:r>
    </w:p>
    <w:p>
      <w:pPr>
        <w:spacing w:after="0" w:line="195" w:lineRule="exact"/>
        <w:rPr>
          <w:rFonts w:ascii="Arial" w:cs="Arial" w:eastAsia="Arial" w:hAnsi="Arial"/>
          <w:sz w:val="18"/>
          <w:szCs w:val="18"/>
          <w:color w:val="auto"/>
        </w:rPr>
      </w:pPr>
    </w:p>
    <w:p>
      <w:pPr>
        <w:ind w:left="660" w:hanging="328"/>
        <w:spacing w:after="0" w:line="27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Keveyis®</w:t>
      </w:r>
      <w:r>
        <w:rPr>
          <w:rFonts w:ascii="Arial" w:cs="Arial" w:eastAsia="Arial" w:hAnsi="Arial"/>
          <w:sz w:val="18"/>
          <w:szCs w:val="18"/>
          <w:color w:val="auto"/>
        </w:rPr>
        <w:t>: Fourth quarter net revenue was $11.1 million – a decrease of approximately 21% compared to the fourth quarter of 2023.</w:t>
      </w:r>
      <w:r>
        <w:rPr>
          <w:rFonts w:ascii="Arial" w:cs="Arial" w:eastAsia="Arial" w:hAnsi="Arial"/>
          <w:sz w:val="18"/>
          <w:szCs w:val="18"/>
          <w:b w:val="1"/>
          <w:bCs w:val="1"/>
          <w:color w:val="auto"/>
        </w:rPr>
        <w:t xml:space="preserve"> </w:t>
      </w:r>
      <w:r>
        <w:rPr>
          <w:rFonts w:ascii="Arial" w:cs="Arial" w:eastAsia="Arial" w:hAnsi="Arial"/>
          <w:sz w:val="18"/>
          <w:szCs w:val="18"/>
          <w:color w:val="auto"/>
        </w:rPr>
        <w:t>This decrease was primarily driven by a reduction in product shipments in the period.</w:t>
      </w:r>
    </w:p>
    <w:p>
      <w:pPr>
        <w:spacing w:after="0" w:line="194" w:lineRule="exact"/>
        <w:rPr>
          <w:rFonts w:ascii="Arial" w:cs="Arial" w:eastAsia="Arial" w:hAnsi="Arial"/>
          <w:sz w:val="18"/>
          <w:szCs w:val="18"/>
          <w:color w:val="auto"/>
        </w:rPr>
      </w:pPr>
    </w:p>
    <w:p>
      <w:pPr>
        <w:ind w:left="660" w:right="20" w:hanging="328"/>
        <w:spacing w:after="0" w:line="27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Royalty, contract and other revenue</w:t>
      </w:r>
      <w:r>
        <w:rPr>
          <w:rFonts w:ascii="Arial" w:cs="Arial" w:eastAsia="Arial" w:hAnsi="Arial"/>
          <w:sz w:val="18"/>
          <w:szCs w:val="18"/>
          <w:color w:val="auto"/>
        </w:rPr>
        <w:t>: In the fourth quarter, we successfully formulated a unique XeriSol® formulation of glucagon</w:t>
      </w:r>
      <w:r>
        <w:rPr>
          <w:rFonts w:ascii="Arial" w:cs="Arial" w:eastAsia="Arial" w:hAnsi="Arial"/>
          <w:sz w:val="18"/>
          <w:szCs w:val="18"/>
          <w:b w:val="1"/>
          <w:bCs w:val="1"/>
          <w:color w:val="auto"/>
        </w:rPr>
        <w:t xml:space="preserve"> </w:t>
      </w:r>
      <w:r>
        <w:rPr>
          <w:rFonts w:ascii="Arial" w:cs="Arial" w:eastAsia="Arial" w:hAnsi="Arial"/>
          <w:sz w:val="18"/>
          <w:szCs w:val="18"/>
          <w:color w:val="auto"/>
        </w:rPr>
        <w:t>for Beta Bionics, Inc., resulting in the recognition of $3.0 million in revenue.</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Year-to-Date 2024 Financial Results</w:t>
            </w: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1"/>
        </w:trPr>
        <w:tc>
          <w:tcPr>
            <w:tcW w:w="3040" w:type="dxa"/>
            <w:vAlign w:val="bottom"/>
            <w:tcBorders>
              <w:top w:val="single" w:sz="8" w:color="auto"/>
            </w:tcBorders>
          </w:tcPr>
          <w:p>
            <w:pPr>
              <w:spacing w:after="0"/>
              <w:rPr>
                <w:sz w:val="24"/>
                <w:szCs w:val="24"/>
                <w:color w:val="auto"/>
              </w:rPr>
            </w:pPr>
          </w:p>
        </w:tc>
        <w:tc>
          <w:tcPr>
            <w:tcW w:w="1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20" w:type="dxa"/>
            <w:vAlign w:val="bottom"/>
            <w:gridSpan w:val="5"/>
          </w:tcPr>
          <w:p>
            <w:pPr>
              <w:ind w:left="160"/>
              <w:spacing w:after="0"/>
              <w:rPr>
                <w:sz w:val="20"/>
                <w:szCs w:val="20"/>
                <w:color w:val="auto"/>
              </w:rPr>
            </w:pPr>
            <w:r>
              <w:rPr>
                <w:rFonts w:ascii="Arial" w:cs="Arial" w:eastAsia="Arial" w:hAnsi="Arial"/>
                <w:sz w:val="18"/>
                <w:szCs w:val="18"/>
                <w:b w:val="1"/>
                <w:bCs w:val="1"/>
                <w:color w:val="auto"/>
              </w:rPr>
              <w:t>Years Ended December 31,</w:t>
            </w:r>
          </w:p>
        </w:tc>
        <w:tc>
          <w:tcPr>
            <w:tcW w:w="420" w:type="dxa"/>
            <w:vAlign w:val="bottom"/>
          </w:tcPr>
          <w:p>
            <w:pPr>
              <w:spacing w:after="0"/>
              <w:rPr>
                <w:sz w:val="24"/>
                <w:szCs w:val="24"/>
                <w:color w:val="auto"/>
              </w:rPr>
            </w:pPr>
          </w:p>
        </w:tc>
        <w:tc>
          <w:tcPr>
            <w:tcW w:w="1640" w:type="dxa"/>
            <w:vAlign w:val="bottom"/>
            <w:gridSpan w:val="2"/>
          </w:tcPr>
          <w:p>
            <w:pPr>
              <w:ind w:left="800"/>
              <w:spacing w:after="0"/>
              <w:rPr>
                <w:sz w:val="20"/>
                <w:szCs w:val="20"/>
                <w:color w:val="auto"/>
              </w:rPr>
            </w:pPr>
            <w:r>
              <w:rPr>
                <w:rFonts w:ascii="Arial" w:cs="Arial" w:eastAsia="Arial" w:hAnsi="Arial"/>
                <w:sz w:val="18"/>
                <w:szCs w:val="18"/>
                <w:b w:val="1"/>
                <w:bCs w:val="1"/>
                <w:color w:val="auto"/>
              </w:rPr>
              <w:t>Change</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80" w:type="dxa"/>
            <w:vAlign w:val="bottom"/>
            <w:gridSpan w:val="2"/>
            <w:vMerge w:val="restart"/>
          </w:tcPr>
          <w:p>
            <w:pPr>
              <w:ind w:left="20"/>
              <w:spacing w:after="0"/>
              <w:rPr>
                <w:sz w:val="20"/>
                <w:szCs w:val="20"/>
                <w:color w:val="auto"/>
              </w:rPr>
            </w:pPr>
            <w:r>
              <w:rPr>
                <w:rFonts w:ascii="Arial" w:cs="Arial" w:eastAsia="Arial" w:hAnsi="Arial"/>
                <w:sz w:val="18"/>
                <w:szCs w:val="18"/>
                <w:color w:val="auto"/>
              </w:rPr>
              <w:t>Product revenue (in thousands):</w:t>
            </w:r>
          </w:p>
        </w:tc>
        <w:tc>
          <w:tcPr>
            <w:tcW w:w="30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top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w:t>
            </w:r>
          </w:p>
        </w:tc>
        <w:tc>
          <w:tcPr>
            <w:tcW w:w="5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4"/>
        </w:trPr>
        <w:tc>
          <w:tcPr>
            <w:tcW w:w="47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780" w:type="dxa"/>
            <w:vAlign w:val="bottom"/>
            <w:gridSpan w:val="2"/>
          </w:tcPr>
          <w:p>
            <w:pPr>
              <w:ind w:left="140"/>
              <w:spacing w:after="0"/>
              <w:rPr>
                <w:sz w:val="20"/>
                <w:szCs w:val="20"/>
                <w:color w:val="auto"/>
              </w:rPr>
            </w:pPr>
            <w:r>
              <w:rPr>
                <w:rFonts w:ascii="Arial" w:cs="Arial" w:eastAsia="Arial" w:hAnsi="Arial"/>
                <w:sz w:val="18"/>
                <w:szCs w:val="18"/>
                <w:color w:val="auto"/>
              </w:rPr>
              <w:t>Gvoke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82,829</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67,045</w:t>
            </w:r>
          </w:p>
        </w:tc>
        <w:tc>
          <w:tcPr>
            <w:tcW w:w="10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15,784</w:t>
            </w:r>
          </w:p>
        </w:tc>
        <w:tc>
          <w:tcPr>
            <w:tcW w:w="5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56"/>
        </w:trPr>
        <w:tc>
          <w:tcPr>
            <w:tcW w:w="4780" w:type="dxa"/>
            <w:vAlign w:val="bottom"/>
            <w:gridSpan w:val="2"/>
          </w:tcPr>
          <w:p>
            <w:pPr>
              <w:ind w:left="140"/>
              <w:spacing w:after="0"/>
              <w:rPr>
                <w:sz w:val="20"/>
                <w:szCs w:val="20"/>
                <w:color w:val="auto"/>
              </w:rPr>
            </w:pPr>
            <w:r>
              <w:rPr>
                <w:rFonts w:ascii="Arial" w:cs="Arial" w:eastAsia="Arial" w:hAnsi="Arial"/>
                <w:sz w:val="18"/>
                <w:szCs w:val="18"/>
                <w:color w:val="auto"/>
              </w:rPr>
              <w:t>Recorlev</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64,277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29,547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34,730</w:t>
            </w:r>
          </w:p>
        </w:tc>
        <w:tc>
          <w:tcPr>
            <w:tcW w:w="5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59"/>
        </w:trPr>
        <w:tc>
          <w:tcPr>
            <w:tcW w:w="4780" w:type="dxa"/>
            <w:vAlign w:val="bottom"/>
            <w:gridSpan w:val="2"/>
          </w:tcPr>
          <w:p>
            <w:pPr>
              <w:ind w:left="140"/>
              <w:spacing w:after="0"/>
              <w:rPr>
                <w:sz w:val="20"/>
                <w:szCs w:val="20"/>
                <w:color w:val="auto"/>
              </w:rPr>
            </w:pPr>
            <w:r>
              <w:rPr>
                <w:rFonts w:ascii="Arial" w:cs="Arial" w:eastAsia="Arial" w:hAnsi="Arial"/>
                <w:sz w:val="18"/>
                <w:szCs w:val="18"/>
                <w:color w:val="auto"/>
              </w:rPr>
              <w:t>Keveyis</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49,530</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56,772</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(7,242)</w:t>
            </w:r>
          </w:p>
        </w:tc>
        <w:tc>
          <w:tcPr>
            <w:tcW w:w="5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50"/>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Product revenue, net</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196,636</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153,364</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43,272</w:t>
            </w:r>
          </w:p>
        </w:tc>
        <w:tc>
          <w:tcPr>
            <w:tcW w:w="5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50"/>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Royalty, contract and other revenue</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6,434</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10,550</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(4,116)</w:t>
            </w:r>
          </w:p>
        </w:tc>
        <w:tc>
          <w:tcPr>
            <w:tcW w:w="5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52"/>
        </w:trPr>
        <w:tc>
          <w:tcPr>
            <w:tcW w:w="4780" w:type="dxa"/>
            <w:vAlign w:val="bottom"/>
            <w:gridSpan w:val="2"/>
          </w:tcPr>
          <w:p>
            <w:pPr>
              <w:ind w:left="14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203,070</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163,914</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39,156</w:t>
            </w:r>
          </w:p>
        </w:tc>
        <w:tc>
          <w:tcPr>
            <w:tcW w:w="5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5"/>
        </w:trPr>
        <w:tc>
          <w:tcPr>
            <w:tcW w:w="30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jc w:val="both"/>
        <w:ind w:left="660" w:right="20" w:hanging="328"/>
        <w:spacing w:after="0" w:line="253" w:lineRule="auto"/>
        <w:tabs>
          <w:tab w:leader="none" w:pos="655"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Gvoke®</w:t>
      </w:r>
      <w:r>
        <w:rPr>
          <w:rFonts w:ascii="Arial" w:cs="Arial" w:eastAsia="Arial" w:hAnsi="Arial"/>
          <w:sz w:val="18"/>
          <w:szCs w:val="18"/>
          <w:color w:val="auto"/>
        </w:rPr>
        <w:t>: Net revenue was $82.8 million for the year ended December 31, 2024 – an increase of approximately 24%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prior year. Gvoke prescriptions for the year were approximately 265,000, growing approximately 23% compared to the same period in 2023.</w:t>
      </w:r>
    </w:p>
    <w:p>
      <w:pPr>
        <w:spacing w:after="0" w:line="195" w:lineRule="exact"/>
        <w:rPr>
          <w:rFonts w:ascii="Arial" w:cs="Arial" w:eastAsia="Arial" w:hAnsi="Arial"/>
          <w:sz w:val="18"/>
          <w:szCs w:val="18"/>
          <w:b w:val="1"/>
          <w:bCs w:val="1"/>
          <w:color w:val="auto"/>
        </w:rPr>
      </w:pPr>
    </w:p>
    <w:p>
      <w:pPr>
        <w:ind w:left="660" w:hanging="328"/>
        <w:spacing w:after="0" w:line="27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Recorlev®</w:t>
      </w:r>
      <w:r>
        <w:rPr>
          <w:rFonts w:ascii="Arial" w:cs="Arial" w:eastAsia="Arial" w:hAnsi="Arial"/>
          <w:sz w:val="18"/>
          <w:szCs w:val="18"/>
          <w:color w:val="auto"/>
        </w:rPr>
        <w:t>: Net revenue was $64.3 million for the year ended December 31, 2024 – an increase of approximately 118% compared</w:t>
      </w:r>
      <w:r>
        <w:rPr>
          <w:rFonts w:ascii="Arial" w:cs="Arial" w:eastAsia="Arial" w:hAnsi="Arial"/>
          <w:sz w:val="18"/>
          <w:szCs w:val="18"/>
          <w:b w:val="1"/>
          <w:bCs w:val="1"/>
          <w:color w:val="auto"/>
        </w:rPr>
        <w:t xml:space="preserve"> </w:t>
      </w:r>
      <w:r>
        <w:rPr>
          <w:rFonts w:ascii="Arial" w:cs="Arial" w:eastAsia="Arial" w:hAnsi="Arial"/>
          <w:sz w:val="18"/>
          <w:szCs w:val="18"/>
          <w:color w:val="auto"/>
        </w:rPr>
        <w:t>to prior year. This growth was driven by an increase in the number of patients on therapy.</w:t>
      </w:r>
    </w:p>
    <w:p>
      <w:pPr>
        <w:spacing w:after="0" w:line="180" w:lineRule="exact"/>
        <w:rPr>
          <w:rFonts w:ascii="Arial" w:cs="Arial" w:eastAsia="Arial" w:hAnsi="Arial"/>
          <w:sz w:val="18"/>
          <w:szCs w:val="18"/>
          <w:color w:val="auto"/>
        </w:rPr>
      </w:pPr>
    </w:p>
    <w:p>
      <w:pPr>
        <w:ind w:left="660" w:hanging="328"/>
        <w:spacing w:after="0" w:line="27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Keveyis®</w:t>
      </w:r>
      <w:r>
        <w:rPr>
          <w:rFonts w:ascii="Arial" w:cs="Arial" w:eastAsia="Arial" w:hAnsi="Arial"/>
          <w:sz w:val="18"/>
          <w:szCs w:val="18"/>
          <w:color w:val="auto"/>
        </w:rPr>
        <w:t>: Net revenue was $49.5 million for the year ended December 31, 2024 – a decrease of approximately 13%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prior year. This decrease was primarily driven by a reduction of average patients on therapy.</w:t>
      </w:r>
    </w:p>
    <w:p>
      <w:pPr>
        <w:spacing w:after="0" w:line="19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Cost of goods sold (COGS) </w:t>
      </w:r>
      <w:r>
        <w:rPr>
          <w:rFonts w:ascii="Arial" w:cs="Arial" w:eastAsia="Arial" w:hAnsi="Arial"/>
          <w:sz w:val="18"/>
          <w:szCs w:val="18"/>
          <w:color w:val="auto"/>
        </w:rPr>
        <w:t>increased $1.9 million or 25% in the fourth quarter 2024 compared to the same period in 2023. This increase</w:t>
      </w:r>
      <w:r>
        <w:rPr>
          <w:rFonts w:ascii="Arial" w:cs="Arial" w:eastAsia="Arial" w:hAnsi="Arial"/>
          <w:sz w:val="18"/>
          <w:szCs w:val="18"/>
          <w:b w:val="1"/>
          <w:bCs w:val="1"/>
          <w:color w:val="auto"/>
        </w:rPr>
        <w:t xml:space="preserve"> </w:t>
      </w:r>
      <w:r>
        <w:rPr>
          <w:rFonts w:ascii="Arial" w:cs="Arial" w:eastAsia="Arial" w:hAnsi="Arial"/>
          <w:sz w:val="18"/>
          <w:szCs w:val="18"/>
          <w:color w:val="auto"/>
        </w:rPr>
        <w:t>was primarily due to an increase in product revenue.</w:t>
      </w:r>
    </w:p>
    <w:p>
      <w:pPr>
        <w:spacing w:after="0" w:line="18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the year-end December 31, 2024, COGS increased $8.2 million or 29% compared to the same period in 2023. This increase was due to increased product revenue ($4.9 million) and additional inventory reserves from process changes required for Gvoke capacity expansion ($4.5 million), offset by lower reserves for slow-moving inventory.</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Research and development (R&amp;D) expenses </w:t>
      </w:r>
      <w:r>
        <w:rPr>
          <w:rFonts w:ascii="Arial" w:cs="Arial" w:eastAsia="Arial" w:hAnsi="Arial"/>
          <w:sz w:val="18"/>
          <w:szCs w:val="18"/>
          <w:color w:val="auto"/>
        </w:rPr>
        <w:t>was relatively flat in the fourth quarter 2024 compared to the same period last year.</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in the quarter supported our pipeline, notably XP-8121, and personnel related expenses to support our pipeline and continued investment in our technology platforms and partnerships.</w:t>
      </w:r>
    </w:p>
    <w:p>
      <w:pPr>
        <w:spacing w:after="0" w:line="17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R&amp;D expenses for the year ended December 31, 2024 increased by $3.2 million or 14% compared to the same period in 2023. This increase was primarily due to higher personnel related expense and increased spending for our pipeline.</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Selling, general and administrative (SG&amp;A) expenses </w:t>
      </w:r>
      <w:r>
        <w:rPr>
          <w:rFonts w:ascii="Arial" w:cs="Arial" w:eastAsia="Arial" w:hAnsi="Arial"/>
          <w:sz w:val="18"/>
          <w:szCs w:val="18"/>
          <w:color w:val="auto"/>
        </w:rPr>
        <w:t>increased $2.6 million or 7% in the fourth quarter 2024 compared to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last year. This increase was primarily due to incremental investment in the Recorlev commercial organization.</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120" w:right="339" w:bottom="1440" w:gutter="0" w:footer="0" w:header="0"/>
        </w:sectPr>
      </w:pPr>
    </w:p>
    <w:bookmarkStart w:id="5" w:name="page6"/>
    <w:bookmarkEnd w:id="5"/>
    <w:p>
      <w:pPr>
        <w:jc w:val="both"/>
        <w:spacing w:after="0" w:line="247" w:lineRule="auto"/>
        <w:rPr>
          <w:sz w:val="20"/>
          <w:szCs w:val="20"/>
          <w:color w:val="auto"/>
        </w:rPr>
      </w:pPr>
      <w:r>
        <w:rPr>
          <w:rFonts w:ascii="Arial" w:cs="Arial" w:eastAsia="Arial" w:hAnsi="Arial"/>
          <w:sz w:val="18"/>
          <w:szCs w:val="18"/>
          <w:color w:val="auto"/>
        </w:rPr>
        <w:t>SG&amp;A expenses increased by $17.4 million or 12% for the year ended December 31, 2024 compared to the same period in 2023. This increase was due to personnel related expense ($13.5 million), primarily due to investments made in the Recorlev commercial organization in Q4 2023 and Q3 2024, and the CEO succession plan and related restructuring in Q3 2024 ($6.1 million), partially offset by lower external spend.</w:t>
      </w:r>
    </w:p>
    <w:p>
      <w:pPr>
        <w:spacing w:after="0" w:line="20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for the fourth quarter was $5.1 million or ($0.03) per share and $54.8 million or ($0.37) per share for the year-ended December 31,</w:t>
      </w:r>
      <w:r>
        <w:rPr>
          <w:rFonts w:ascii="Arial" w:cs="Arial" w:eastAsia="Arial" w:hAnsi="Arial"/>
          <w:sz w:val="18"/>
          <w:szCs w:val="18"/>
          <w:b w:val="1"/>
          <w:bCs w:val="1"/>
          <w:color w:val="auto"/>
        </w:rPr>
        <w:t xml:space="preserve"> </w:t>
      </w:r>
      <w:r>
        <w:rPr>
          <w:rFonts w:ascii="Arial" w:cs="Arial" w:eastAsia="Arial" w:hAnsi="Arial"/>
          <w:sz w:val="18"/>
          <w:szCs w:val="18"/>
          <w:color w:val="auto"/>
        </w:rPr>
        <w:t>2024.</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23"/>
          <w:szCs w:val="23"/>
          <w:color w:val="auto"/>
          <w:vertAlign w:val="superscript"/>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fourth quarter was $8.3 million and $1.2 million for the year-end December 31, 2024.</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Cash, cash equivalents, and short-term investments </w:t>
      </w:r>
      <w:r>
        <w:rPr>
          <w:rFonts w:ascii="Arial" w:cs="Arial" w:eastAsia="Arial" w:hAnsi="Arial"/>
          <w:sz w:val="18"/>
          <w:szCs w:val="18"/>
          <w:color w:val="auto"/>
        </w:rPr>
        <w:t>at December 31, 2024 was $71.6 million, compared to $72.5 million at December</w:t>
      </w:r>
      <w:r>
        <w:rPr>
          <w:rFonts w:ascii="Arial" w:cs="Arial" w:eastAsia="Arial" w:hAnsi="Arial"/>
          <w:sz w:val="18"/>
          <w:szCs w:val="18"/>
          <w:b w:val="1"/>
          <w:bCs w:val="1"/>
          <w:color w:val="auto"/>
        </w:rPr>
        <w:t xml:space="preserve"> </w:t>
      </w:r>
      <w:r>
        <w:rPr>
          <w:rFonts w:ascii="Arial" w:cs="Arial" w:eastAsia="Arial" w:hAnsi="Arial"/>
          <w:sz w:val="18"/>
          <w:szCs w:val="18"/>
          <w:color w:val="auto"/>
        </w:rPr>
        <w:t>31, 2023. Total shares outstanding at February 28, 2025 was 153,940,135.</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 Details</w:t>
      </w:r>
    </w:p>
    <w:p>
      <w:pPr>
        <w:spacing w:after="0" w:line="14"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 xml:space="preserve">Xeris will host a conference call and webcast at 8:30 a.m. Eastern Time today to discuss the Company's financial and operational results. To pre-register for the conference call, please use the following link: </w:t>
      </w:r>
      <w:r>
        <w:rPr>
          <w:rFonts w:ascii="Arial" w:cs="Arial" w:eastAsia="Arial" w:hAnsi="Arial"/>
          <w:sz w:val="18"/>
          <w:szCs w:val="18"/>
          <w:color w:val="0000FF"/>
        </w:rPr>
        <w:t>https://www.netroadshow.com/events/login?show=ecd4fc1e&amp;confId=76382</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After registering, a confirmation email will be sent, including dial-in details and a unique code for entry. The Company recommends registering a minimum of ten minutes prior to the start of the call. Following the conference call, a replay will be available until Thursday, March 20, 2025 at US:1 929 458 6194, US Toll Free: 1 866 813 9403, UK: 0204 525 0658, Canada: 1 226 828 7578, or all other locations: +44 204 525 0658 Access Code: 694296.</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To join the webcast, please visit “Events” on investor relations page of the Company’s website at www.xerispharma.com or use this link:</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Use of Non-GAAP Financial Measures</w:t>
      </w:r>
    </w:p>
    <w:p>
      <w:pPr>
        <w:spacing w:after="0" w:line="1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This press release includes financial results prepared in accordance with generally accepted accounting principles in the United States (GAAP) and also certain historical and forward-looking non-GAAP financial measures, namely Adjusted EBITDA. This non-GAAP financial measure is not meant to be considered in isolation and should be read in conjunction with the Company's consolidated financial statements prepared in accordance with GAAP, and was not prepared under any comprehensive set of accounting rules or principles. Non-GAAP financial measures are not an alternative for financial measures prepared in accordance with GAAP, and the calculation of the non-GAAP financial measure included herein may differ from similarly titled measures used by other companies. The Company believes that the presentation of Adjusted EBITDA, when viewed in conjunction with actual GAAP results, provides investors with a more meaningful understanding of our ongoing and projected operating performance, exclusive of factors that do not directly affect what the Company considers to be its core operating performance, as well as unusual events. We believe this non-GAAP financial measure helps indicate underlying trends in the Company’s business and is important in comparing current results with prior period results and understanding expected operating performance. Also, management uses this non-GAAP financial measure to establish budgets and operational goals, and to manage the Company’s business and evaluate its performance. In addition, management believes that Adjusted EBIDTA is important in evaluating the administrative costs of operating the Company’s business.</w:t>
      </w:r>
    </w:p>
    <w:p>
      <w:pPr>
        <w:spacing w:after="0" w:line="2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Adjusted EBITDA is GAAP net income (loss) before income tax (benefit) expense, plus interest and other income, less depreciation and amortization, interest expenses, share based compensation, debt refinancing fees and loss on debt extinguishment relating to the exchange in September 2023 of $32.0 million in aggregate principal of 5.00% Convertible Senior Notes due 2025 for $33.6 million in aggregate principal amount of new 8.00% Convertible Senior Notes due 2028.</w:t>
      </w:r>
    </w:p>
    <w:p>
      <w:pPr>
        <w:spacing w:after="0" w:line="19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are unable to reconcile our forward-looking guidance for Adjusted EBITDA to its most directly comparable GAAP measure. This is because the company cannot predict with reasonable certainty and without unreasonable efforts the ultimate outcome of certain components of such GAAP metric and reconciliations due to market-related assumptions such as information regarding future compensation charges, future changes in the market price of our common stock or other costs which may arise. For these reasons, management is unable to assess the probable significance of the unavailable information, which could materially impact the amount of the future directly comparable GAAP measures.</w:t>
      </w:r>
    </w:p>
    <w:p>
      <w:pPr>
        <w:spacing w:after="0" w:line="395" w:lineRule="exact"/>
        <w:rPr>
          <w:sz w:val="20"/>
          <w:szCs w:val="20"/>
          <w:color w:val="auto"/>
        </w:rPr>
      </w:pPr>
    </w:p>
    <w:p>
      <w:pPr>
        <w:ind w:firstLine="8"/>
        <w:spacing w:after="0" w:line="214" w:lineRule="auto"/>
        <w:tabs>
          <w:tab w:leader="none" w:pos="103"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Adjusted EBITDA is a non-GAAP financial measure. See "Note Regarding Use of Non-GAAP Financial Measures" and the corresponding financial tables at the end of this press release for definitions and reconciliations of non-GAAP measures.</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87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Xeris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Xeris (Nasdaq: XERS) is a fast-growing biopharmaceutical company committed to improving patient lives by developing and commercializing</w:t>
      </w:r>
    </w:p>
    <w:p>
      <w:pPr>
        <w:spacing w:after="0" w:line="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innovative products across a range of therapies. Xeris has three commercially available products: Recorlev®, for the treatment of endogenous Cushing’s syndrome; Gvoke®, a ready-to-use liquid glucagon for the treatment of severe hypoglycemia; and Keveyis®, a proven therapy for primary periodic paralysis. Xeris also has a pipeline of development programs led by XP-8121, a Phase 3-ready, once-weekly subcutaneous injection for hypothyroidism, as well as multiple early-stage programs leveraging Xeris’ technology platforms, XeriSol® and XeriJect®, for its partners.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Xeris Biopharma Holdings is headquartered in Chicago, IL. For more information, visit </w:t>
      </w:r>
      <w:r>
        <w:rPr>
          <w:rFonts w:ascii="Arial" w:cs="Arial" w:eastAsia="Arial" w:hAnsi="Arial"/>
          <w:sz w:val="18"/>
          <w:szCs w:val="18"/>
          <w:u w:val="single" w:color="auto"/>
          <w:color w:val="3051F2"/>
        </w:rPr>
        <w:t>www.xerispharma.com</w:t>
      </w:r>
      <w:r>
        <w:rPr>
          <w:rFonts w:ascii="Arial" w:cs="Arial" w:eastAsia="Arial" w:hAnsi="Arial"/>
          <w:sz w:val="18"/>
          <w:szCs w:val="18"/>
          <w:color w:val="auto"/>
        </w:rPr>
        <w:t xml:space="preserve">, or follow us on </w:t>
      </w:r>
      <w:r>
        <w:rPr>
          <w:rFonts w:ascii="Arial" w:cs="Arial" w:eastAsia="Arial" w:hAnsi="Arial"/>
          <w:sz w:val="18"/>
          <w:szCs w:val="18"/>
          <w:u w:val="single" w:color="auto"/>
          <w:color w:val="3051F2"/>
        </w:rPr>
        <w:t>X</w:t>
      </w:r>
      <w:r>
        <w:rPr>
          <w:rFonts w:ascii="Arial" w:cs="Arial" w:eastAsia="Arial" w:hAnsi="Arial"/>
          <w:sz w:val="18"/>
          <w:szCs w:val="18"/>
          <w:color w:val="auto"/>
        </w:rPr>
        <w:t xml:space="preserve">, </w:t>
      </w:r>
      <w:r>
        <w:rPr>
          <w:rFonts w:ascii="Arial" w:cs="Arial" w:eastAsia="Arial" w:hAnsi="Arial"/>
          <w:sz w:val="18"/>
          <w:szCs w:val="18"/>
          <w:u w:val="single" w:color="auto"/>
          <w:color w:val="3051F2"/>
        </w:rPr>
        <w:t>LinkedIn</w:t>
      </w:r>
      <w:r>
        <w:rPr>
          <w:rFonts w:ascii="Arial" w:cs="Arial" w:eastAsia="Arial" w:hAnsi="Arial"/>
          <w:sz w:val="18"/>
          <w:szCs w:val="18"/>
          <w:color w:val="auto"/>
        </w:rPr>
        <w:t>, 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3051F2"/>
        </w:rPr>
        <w:t>Instagram</w:t>
      </w:r>
      <w:r>
        <w:rPr>
          <w:rFonts w:ascii="Arial" w:cs="Arial" w:eastAsia="Arial" w:hAnsi="Arial"/>
          <w:sz w:val="18"/>
          <w:szCs w:val="18"/>
          <w:color w:val="000000"/>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4" w:lineRule="exact"/>
        <w:rPr>
          <w:sz w:val="20"/>
          <w:szCs w:val="20"/>
          <w:color w:val="auto"/>
        </w:rPr>
      </w:pPr>
    </w:p>
    <w:p>
      <w:pPr>
        <w:jc w:val="both"/>
        <w:spacing w:after="0"/>
        <w:rPr>
          <w:sz w:val="20"/>
          <w:szCs w:val="20"/>
          <w:color w:val="auto"/>
        </w:rPr>
      </w:pPr>
      <w:r>
        <w:rPr>
          <w:rFonts w:ascii="Arial" w:cs="Arial" w:eastAsia="Arial" w:hAnsi="Arial"/>
          <w:sz w:val="18"/>
          <w:szCs w:val="18"/>
          <w:color w:val="auto"/>
        </w:rPr>
        <w:t>Any statements in this press release other than statements of historical fact are forward-looking statements. Forward-looking statements include, but are not limited to, statements about future expectations, plans and prospects for Xeris Biopharma Holdings, Inc. including statements regarding guidance for 2025, including the potential for revenue growth and Adjusted EBIDTA, the potential for 2025 to be financially transformative, our ability to drive more value for patients and shareholders, the market and therapeutic potential of its products and product candidates, the potential utility of its formulation platforms, the advancement of its pipeline (including XP-8121), and other statements containing the words “will,” “would,” “continue,” “expect,” “should,” “anticipate” and similar expressions, constitute forward-looking statements within the meaning of The Private Securities Litigation Reform Act of 1995. These forward-looking statements are based on numerous assumptions and assessments made in light of Xeris’ experience and perception of historical trends, current conditions, business strategies, operating environment, future developments, geopolitical factors and other factors it believes appropriate. By their nature, forward-looking statements involve known and unknown risks and uncertainties because they relate to events and depend on circumstances that will occur in the future. The various factors that could cause Xeris’ actual results, performance or achievements, industry results and developments to differ materially from those expressed in or implied by such forward-looking statements, include, but are not limited to, its financial position and need for financing, including to fund its product development programs or commercialization efforts, whether its products will achieve and maintain market acceptance in a competitive business environment, its reliance on third-party suppliers, including single-source suppliers, its reliance on third parties to conduct clinical trials, the ability of its product candidates to compete successfully with existing and new drugs, its and collaborators’ ability to protect its intellectual property and proprietary technology, and general macroeconomic conditions. No assurance can be given that such expectations will be realized and persons reading this communication are, therefore, cautioned not to place undue reliance on these forward-looking statements. Additional risks and information about potential impacts of financial, operational, economic, competitive, regulatory, governmental, technological, and other factors that may affect Xeris can be found in Xeris’ filings, including its most recently filed Quarterly Report on Form 10-Q with the U.S. Securities and Exchange Commission, the contents of which are not incorporated by reference into, nor do they form part of, this communication. Forward-looking statements in this communication are based on information available to us, as of the date of this communication and, while we believe our assumptions are reasonable, actual results may differ materially. Subject to any obligations under applicable law, we do not undertake any obligation to update any forward-looking statement whether as a result of new information, future developments or otherwise, or to conform any forward-looking statement to actual results, future events, or to changes in expectations.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Allison Wey</w:t>
      </w:r>
    </w:p>
    <w:p>
      <w:pPr>
        <w:ind w:right="5380"/>
        <w:spacing w:after="0" w:line="250" w:lineRule="auto"/>
        <w:rPr>
          <w:sz w:val="20"/>
          <w:szCs w:val="20"/>
          <w:color w:val="auto"/>
        </w:rPr>
      </w:pPr>
      <w:r>
        <w:rPr>
          <w:rFonts w:ascii="Arial" w:cs="Arial" w:eastAsia="Arial" w:hAnsi="Arial"/>
          <w:sz w:val="18"/>
          <w:szCs w:val="18"/>
          <w:color w:val="auto"/>
        </w:rPr>
        <w:t>Senior Vice President, Investor Relations and Corporate Communications awey@xerispharma.com</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890" w:right="339" w:bottom="1440" w:gutter="0" w:footer="0" w:header="0"/>
        </w:sectPr>
      </w:pPr>
    </w:p>
    <w:bookmarkStart w:id="7" w:name="page8"/>
    <w:bookmarkEnd w:id="7"/>
    <w:p>
      <w:pPr>
        <w:jc w:val="center"/>
        <w:ind w:right="140"/>
        <w:spacing w:after="0"/>
        <w:rPr>
          <w:sz w:val="20"/>
          <w:szCs w:val="20"/>
          <w:color w:val="auto"/>
        </w:rPr>
      </w:pPr>
      <w:r>
        <w:rPr>
          <w:rFonts w:ascii="Arial" w:cs="Arial" w:eastAsia="Arial" w:hAnsi="Arial"/>
          <w:sz w:val="20"/>
          <w:szCs w:val="20"/>
          <w:b w:val="1"/>
          <w:bCs w:val="1"/>
          <w:color w:val="auto"/>
        </w:rPr>
        <w:t>XERIS BIOPHARMA HOLDINGS, INC.</w:t>
      </w:r>
    </w:p>
    <w:p>
      <w:pPr>
        <w:spacing w:after="0" w:line="33" w:lineRule="exact"/>
        <w:rPr>
          <w:sz w:val="20"/>
          <w:szCs w:val="20"/>
          <w:color w:val="auto"/>
        </w:rPr>
      </w:pPr>
    </w:p>
    <w:p>
      <w:pPr>
        <w:jc w:val="center"/>
        <w:ind w:right="140"/>
        <w:spacing w:after="0"/>
        <w:rPr>
          <w:sz w:val="20"/>
          <w:szCs w:val="20"/>
          <w:color w:val="auto"/>
        </w:rPr>
      </w:pPr>
      <w:r>
        <w:rPr>
          <w:rFonts w:ascii="Arial" w:cs="Arial" w:eastAsia="Arial" w:hAnsi="Arial"/>
          <w:sz w:val="20"/>
          <w:szCs w:val="20"/>
          <w:b w:val="1"/>
          <w:bCs w:val="1"/>
          <w:color w:val="auto"/>
        </w:rPr>
        <w:t>CONDENSED CONSOLIDATED STATEMENTS OF OPERATIONS</w:t>
      </w:r>
    </w:p>
    <w:p>
      <w:pPr>
        <w:spacing w:after="0" w:line="2"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(in thousands, except share and per share data)</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80" w:type="dxa"/>
            <w:vAlign w:val="bottom"/>
          </w:tcPr>
          <w:p>
            <w:pPr>
              <w:spacing w:after="0"/>
              <w:rPr>
                <w:sz w:val="17"/>
                <w:szCs w:val="17"/>
                <w:color w:val="auto"/>
              </w:rPr>
            </w:pPr>
          </w:p>
        </w:tc>
        <w:tc>
          <w:tcPr>
            <w:tcW w:w="3180" w:type="dxa"/>
            <w:vAlign w:val="bottom"/>
            <w:gridSpan w:val="6"/>
            <w:vMerge w:val="restart"/>
          </w:tcPr>
          <w:p>
            <w:pPr>
              <w:ind w:left="40"/>
              <w:spacing w:after="0"/>
              <w:rPr>
                <w:sz w:val="20"/>
                <w:szCs w:val="20"/>
                <w:color w:val="auto"/>
              </w:rPr>
            </w:pPr>
            <w:r>
              <w:rPr>
                <w:rFonts w:ascii="Arial" w:cs="Arial" w:eastAsia="Arial" w:hAnsi="Arial"/>
                <w:sz w:val="18"/>
                <w:szCs w:val="18"/>
                <w:b w:val="1"/>
                <w:bCs w:val="1"/>
                <w:color w:val="auto"/>
              </w:rPr>
              <w:t>Three Months Ended December 31,</w:t>
            </w:r>
          </w:p>
        </w:tc>
        <w:tc>
          <w:tcPr>
            <w:tcW w:w="280" w:type="dxa"/>
            <w:vAlign w:val="bottom"/>
          </w:tcPr>
          <w:p>
            <w:pPr>
              <w:spacing w:after="0"/>
              <w:rPr>
                <w:sz w:val="17"/>
                <w:szCs w:val="17"/>
                <w:color w:val="auto"/>
              </w:rPr>
            </w:pPr>
          </w:p>
        </w:tc>
        <w:tc>
          <w:tcPr>
            <w:tcW w:w="2840" w:type="dxa"/>
            <w:vAlign w:val="bottom"/>
            <w:gridSpan w:val="4"/>
          </w:tcPr>
          <w:p>
            <w:pPr>
              <w:jc w:val="right"/>
              <w:ind w:right="950"/>
              <w:spacing w:after="0"/>
              <w:rPr>
                <w:sz w:val="20"/>
                <w:szCs w:val="20"/>
                <w:color w:val="auto"/>
              </w:rPr>
            </w:pPr>
            <w:r>
              <w:rPr>
                <w:rFonts w:ascii="Arial" w:cs="Arial" w:eastAsia="Arial" w:hAnsi="Arial"/>
                <w:sz w:val="18"/>
                <w:szCs w:val="18"/>
                <w:b w:val="1"/>
                <w:bCs w:val="1"/>
                <w:color w:val="auto"/>
              </w:rPr>
              <w:t>Years Ended</w:t>
            </w:r>
          </w:p>
        </w:tc>
        <w:tc>
          <w:tcPr>
            <w:tcW w:w="0" w:type="dxa"/>
            <w:vAlign w:val="bottom"/>
          </w:tcPr>
          <w:p>
            <w:pPr>
              <w:spacing w:after="0"/>
              <w:rPr>
                <w:sz w:val="1"/>
                <w:szCs w:val="1"/>
                <w:color w:val="auto"/>
              </w:rPr>
            </w:pPr>
          </w:p>
        </w:tc>
      </w:tr>
      <w:tr>
        <w:trPr>
          <w:trHeight w:val="235"/>
        </w:trPr>
        <w:tc>
          <w:tcPr>
            <w:tcW w:w="4680" w:type="dxa"/>
            <w:vAlign w:val="bottom"/>
          </w:tcPr>
          <w:p>
            <w:pPr>
              <w:spacing w:after="0"/>
              <w:rPr>
                <w:sz w:val="20"/>
                <w:szCs w:val="20"/>
                <w:color w:val="auto"/>
              </w:rPr>
            </w:pPr>
          </w:p>
        </w:tc>
        <w:tc>
          <w:tcPr>
            <w:tcW w:w="3180" w:type="dxa"/>
            <w:vAlign w:val="bottom"/>
            <w:gridSpan w:val="6"/>
            <w:vMerge w:val="continue"/>
          </w:tcPr>
          <w:p>
            <w:pPr>
              <w:spacing w:after="0"/>
              <w:rPr>
                <w:sz w:val="20"/>
                <w:szCs w:val="20"/>
                <w:color w:val="auto"/>
              </w:rPr>
            </w:pPr>
          </w:p>
        </w:tc>
        <w:tc>
          <w:tcPr>
            <w:tcW w:w="280" w:type="dxa"/>
            <w:vAlign w:val="bottom"/>
          </w:tcPr>
          <w:p>
            <w:pPr>
              <w:spacing w:after="0"/>
              <w:rPr>
                <w:sz w:val="20"/>
                <w:szCs w:val="20"/>
                <w:color w:val="auto"/>
              </w:rPr>
            </w:pPr>
          </w:p>
        </w:tc>
        <w:tc>
          <w:tcPr>
            <w:tcW w:w="2840" w:type="dxa"/>
            <w:vAlign w:val="bottom"/>
            <w:gridSpan w:val="4"/>
          </w:tcPr>
          <w:p>
            <w:pPr>
              <w:jc w:val="right"/>
              <w:ind w:right="89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46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2024</w:t>
            </w: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2024</w:t>
            </w: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43"/>
        </w:trPr>
        <w:tc>
          <w:tcPr>
            <w:tcW w:w="46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(unaudited)</w:t>
            </w: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(unaudited)</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80" w:type="dxa"/>
            <w:vAlign w:val="bottom"/>
          </w:tcPr>
          <w:p>
            <w:pPr>
              <w:spacing w:after="0"/>
              <w:rPr>
                <w:sz w:val="20"/>
                <w:szCs w:val="20"/>
                <w:color w:val="auto"/>
              </w:rPr>
            </w:pPr>
            <w:r>
              <w:rPr>
                <w:rFonts w:ascii="Arial" w:cs="Arial" w:eastAsia="Arial" w:hAnsi="Arial"/>
                <w:sz w:val="18"/>
                <w:szCs w:val="18"/>
                <w:color w:val="auto"/>
              </w:rPr>
              <w:t>Product revenue, net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57,000</w:t>
            </w: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42,509</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196,636</w:t>
            </w:r>
          </w:p>
        </w:tc>
        <w:tc>
          <w:tcPr>
            <w:tcW w:w="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153,364</w:t>
            </w:r>
          </w:p>
        </w:tc>
        <w:tc>
          <w:tcPr>
            <w:tcW w:w="0" w:type="dxa"/>
            <w:vAlign w:val="bottom"/>
          </w:tcPr>
          <w:p>
            <w:pPr>
              <w:spacing w:after="0"/>
              <w:rPr>
                <w:sz w:val="1"/>
                <w:szCs w:val="1"/>
                <w:color w:val="auto"/>
              </w:rPr>
            </w:pPr>
          </w:p>
        </w:tc>
      </w:tr>
      <w:tr>
        <w:trPr>
          <w:trHeight w:val="251"/>
        </w:trPr>
        <w:tc>
          <w:tcPr>
            <w:tcW w:w="4680" w:type="dxa"/>
            <w:vAlign w:val="bottom"/>
          </w:tcPr>
          <w:p>
            <w:pPr>
              <w:spacing w:after="0"/>
              <w:rPr>
                <w:sz w:val="20"/>
                <w:szCs w:val="20"/>
                <w:color w:val="auto"/>
              </w:rPr>
            </w:pPr>
            <w:r>
              <w:rPr>
                <w:rFonts w:ascii="Arial" w:cs="Arial" w:eastAsia="Arial" w:hAnsi="Arial"/>
                <w:sz w:val="18"/>
                <w:szCs w:val="18"/>
                <w:color w:val="auto"/>
              </w:rPr>
              <w:t>Royalty, contract and other revenue</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3,099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6,434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10,550</w:t>
            </w:r>
          </w:p>
        </w:tc>
        <w:tc>
          <w:tcPr>
            <w:tcW w:w="0" w:type="dxa"/>
            <w:vAlign w:val="bottom"/>
          </w:tcPr>
          <w:p>
            <w:pPr>
              <w:spacing w:after="0"/>
              <w:rPr>
                <w:sz w:val="1"/>
                <w:szCs w:val="1"/>
                <w:color w:val="auto"/>
              </w:rPr>
            </w:pPr>
          </w:p>
        </w:tc>
      </w:tr>
      <w:tr>
        <w:trPr>
          <w:trHeight w:val="23"/>
        </w:trPr>
        <w:tc>
          <w:tcPr>
            <w:tcW w:w="4680" w:type="dxa"/>
            <w:vAlign w:val="bottom"/>
            <w:vMerge w:val="restart"/>
          </w:tcPr>
          <w:p>
            <w:pPr>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46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60,099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44,390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203,070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163,914</w:t>
            </w:r>
          </w:p>
        </w:tc>
        <w:tc>
          <w:tcPr>
            <w:tcW w:w="0" w:type="dxa"/>
            <w:vAlign w:val="bottom"/>
          </w:tcPr>
          <w:p>
            <w:pPr>
              <w:spacing w:after="0"/>
              <w:rPr>
                <w:sz w:val="1"/>
                <w:szCs w:val="1"/>
                <w:color w:val="auto"/>
              </w:rPr>
            </w:pPr>
          </w:p>
        </w:tc>
      </w:tr>
      <w:tr>
        <w:trPr>
          <w:trHeight w:val="242"/>
        </w:trPr>
        <w:tc>
          <w:tcPr>
            <w:tcW w:w="4680" w:type="dxa"/>
            <w:vAlign w:val="bottom"/>
          </w:tcPr>
          <w:p>
            <w:pPr>
              <w:spacing w:after="0"/>
              <w:rPr>
                <w:sz w:val="20"/>
                <w:szCs w:val="20"/>
                <w:color w:val="auto"/>
              </w:rPr>
            </w:pPr>
            <w:r>
              <w:rPr>
                <w:rFonts w:ascii="Arial" w:cs="Arial" w:eastAsia="Arial" w:hAnsi="Arial"/>
                <w:sz w:val="18"/>
                <w:szCs w:val="18"/>
                <w:color w:val="auto"/>
              </w:rPr>
              <w:t>Costs and expenses: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120"/>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9,478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7,570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36,832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28,645</w:t>
            </w:r>
          </w:p>
        </w:tc>
        <w:tc>
          <w:tcPr>
            <w:tcW w:w="0" w:type="dxa"/>
            <w:vAlign w:val="bottom"/>
          </w:tcPr>
          <w:p>
            <w:pPr>
              <w:spacing w:after="0"/>
              <w:rPr>
                <w:sz w:val="1"/>
                <w:szCs w:val="1"/>
                <w:color w:val="auto"/>
              </w:rPr>
            </w:pPr>
          </w:p>
        </w:tc>
      </w:tr>
      <w:tr>
        <w:trPr>
          <w:trHeight w:val="229"/>
        </w:trPr>
        <w:tc>
          <w:tcPr>
            <w:tcW w:w="468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6,092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6,382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25,560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22,341</w:t>
            </w:r>
          </w:p>
        </w:tc>
        <w:tc>
          <w:tcPr>
            <w:tcW w:w="0" w:type="dxa"/>
            <w:vAlign w:val="bottom"/>
          </w:tcPr>
          <w:p>
            <w:pPr>
              <w:spacing w:after="0"/>
              <w:rPr>
                <w:sz w:val="1"/>
                <w:szCs w:val="1"/>
                <w:color w:val="auto"/>
              </w:rPr>
            </w:pPr>
          </w:p>
        </w:tc>
      </w:tr>
      <w:tr>
        <w:trPr>
          <w:trHeight w:val="229"/>
        </w:trPr>
        <w:tc>
          <w:tcPr>
            <w:tcW w:w="468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40,139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37,568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163,481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146,095</w:t>
            </w:r>
          </w:p>
        </w:tc>
        <w:tc>
          <w:tcPr>
            <w:tcW w:w="0" w:type="dxa"/>
            <w:vAlign w:val="bottom"/>
          </w:tcPr>
          <w:p>
            <w:pPr>
              <w:spacing w:after="0"/>
              <w:rPr>
                <w:sz w:val="1"/>
                <w:szCs w:val="1"/>
                <w:color w:val="auto"/>
              </w:rPr>
            </w:pPr>
          </w:p>
        </w:tc>
      </w:tr>
      <w:tr>
        <w:trPr>
          <w:trHeight w:val="235"/>
        </w:trPr>
        <w:tc>
          <w:tcPr>
            <w:tcW w:w="4680" w:type="dxa"/>
            <w:vAlign w:val="bottom"/>
          </w:tcPr>
          <w:p>
            <w:pPr>
              <w:ind w:left="140"/>
              <w:spacing w:after="0"/>
              <w:rPr>
                <w:sz w:val="20"/>
                <w:szCs w:val="20"/>
                <w:color w:val="auto"/>
              </w:rPr>
            </w:pPr>
            <w:r>
              <w:rPr>
                <w:rFonts w:ascii="Arial" w:cs="Arial" w:eastAsia="Arial" w:hAnsi="Arial"/>
                <w:sz w:val="18"/>
                <w:szCs w:val="18"/>
                <w:color w:val="auto"/>
              </w:rPr>
              <w:t>Amortization of intangible assets</w:t>
            </w: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2,711</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2,711</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10,843</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10,843</w:t>
            </w:r>
          </w:p>
        </w:tc>
        <w:tc>
          <w:tcPr>
            <w:tcW w:w="0" w:type="dxa"/>
            <w:vAlign w:val="bottom"/>
          </w:tcPr>
          <w:p>
            <w:pPr>
              <w:spacing w:after="0"/>
              <w:rPr>
                <w:sz w:val="1"/>
                <w:szCs w:val="1"/>
                <w:color w:val="auto"/>
              </w:rPr>
            </w:pPr>
          </w:p>
        </w:tc>
      </w:tr>
      <w:tr>
        <w:trPr>
          <w:trHeight w:val="223"/>
        </w:trPr>
        <w:tc>
          <w:tcPr>
            <w:tcW w:w="4680" w:type="dxa"/>
            <w:vAlign w:val="bottom"/>
          </w:tcPr>
          <w:p>
            <w:pPr>
              <w:ind w:left="300"/>
              <w:spacing w:after="0"/>
              <w:rPr>
                <w:sz w:val="20"/>
                <w:szCs w:val="20"/>
                <w:color w:val="auto"/>
              </w:rPr>
            </w:pPr>
            <w:r>
              <w:rPr>
                <w:rFonts w:ascii="Arial" w:cs="Arial" w:eastAsia="Arial" w:hAnsi="Arial"/>
                <w:sz w:val="18"/>
                <w:szCs w:val="18"/>
                <w:color w:val="auto"/>
              </w:rPr>
              <w:t>Total costs and expenses</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58,420</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54,231</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236,716</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207,924</w:t>
            </w:r>
          </w:p>
        </w:tc>
        <w:tc>
          <w:tcPr>
            <w:tcW w:w="0" w:type="dxa"/>
            <w:vAlign w:val="bottom"/>
          </w:tcPr>
          <w:p>
            <w:pPr>
              <w:spacing w:after="0"/>
              <w:rPr>
                <w:sz w:val="1"/>
                <w:szCs w:val="1"/>
                <w:color w:val="auto"/>
              </w:rPr>
            </w:pPr>
          </w:p>
        </w:tc>
      </w:tr>
      <w:tr>
        <w:trPr>
          <w:trHeight w:val="218"/>
        </w:trPr>
        <w:tc>
          <w:tcPr>
            <w:tcW w:w="4680" w:type="dxa"/>
            <w:vAlign w:val="bottom"/>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1,679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(9,841)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(33,646)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(44,010)</w:t>
            </w:r>
          </w:p>
        </w:tc>
        <w:tc>
          <w:tcPr>
            <w:tcW w:w="0" w:type="dxa"/>
            <w:vAlign w:val="bottom"/>
          </w:tcPr>
          <w:p>
            <w:pPr>
              <w:spacing w:after="0"/>
              <w:rPr>
                <w:sz w:val="1"/>
                <w:szCs w:val="1"/>
                <w:color w:val="auto"/>
              </w:rPr>
            </w:pPr>
          </w:p>
        </w:tc>
      </w:tr>
      <w:tr>
        <w:trPr>
          <w:trHeight w:val="255"/>
        </w:trPr>
        <w:tc>
          <w:tcPr>
            <w:tcW w:w="4680" w:type="dxa"/>
            <w:vAlign w:val="bottom"/>
          </w:tcPr>
          <w:p>
            <w:pPr>
              <w:spacing w:after="0"/>
              <w:rPr>
                <w:sz w:val="20"/>
                <w:szCs w:val="20"/>
                <w:color w:val="auto"/>
              </w:rPr>
            </w:pPr>
            <w:r>
              <w:rPr>
                <w:rFonts w:ascii="Arial" w:cs="Arial" w:eastAsia="Arial" w:hAnsi="Arial"/>
                <w:sz w:val="18"/>
                <w:szCs w:val="18"/>
                <w:color w:val="auto"/>
              </w:rPr>
              <w:t>Other expenses</w:t>
            </w: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(6,792)</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(3,785)</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(23,458)</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(19,494)</w:t>
            </w:r>
          </w:p>
        </w:tc>
        <w:tc>
          <w:tcPr>
            <w:tcW w:w="0" w:type="dxa"/>
            <w:vAlign w:val="bottom"/>
          </w:tcPr>
          <w:p>
            <w:pPr>
              <w:spacing w:after="0"/>
              <w:rPr>
                <w:sz w:val="1"/>
                <w:szCs w:val="1"/>
                <w:color w:val="auto"/>
              </w:rPr>
            </w:pPr>
          </w:p>
        </w:tc>
      </w:tr>
      <w:tr>
        <w:trPr>
          <w:trHeight w:val="224"/>
        </w:trPr>
        <w:tc>
          <w:tcPr>
            <w:tcW w:w="4680" w:type="dxa"/>
            <w:vAlign w:val="bottom"/>
          </w:tcPr>
          <w:p>
            <w:pPr>
              <w:ind w:left="300"/>
              <w:spacing w:after="0"/>
              <w:rPr>
                <w:sz w:val="20"/>
                <w:szCs w:val="20"/>
                <w:color w:val="auto"/>
              </w:rPr>
            </w:pPr>
            <w:r>
              <w:rPr>
                <w:rFonts w:ascii="Arial" w:cs="Arial" w:eastAsia="Arial" w:hAnsi="Arial"/>
                <w:sz w:val="18"/>
                <w:szCs w:val="18"/>
                <w:color w:val="auto"/>
              </w:rPr>
              <w:t>Net loss before benefit from income taxes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(5,113)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(13,626)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(57,104)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(63,504)</w:t>
            </w:r>
          </w:p>
        </w:tc>
        <w:tc>
          <w:tcPr>
            <w:tcW w:w="0" w:type="dxa"/>
            <w:vAlign w:val="bottom"/>
          </w:tcPr>
          <w:p>
            <w:pPr>
              <w:spacing w:after="0"/>
              <w:rPr>
                <w:sz w:val="1"/>
                <w:szCs w:val="1"/>
                <w:color w:val="auto"/>
              </w:rPr>
            </w:pPr>
          </w:p>
        </w:tc>
      </w:tr>
      <w:tr>
        <w:trPr>
          <w:trHeight w:val="235"/>
        </w:trPr>
        <w:tc>
          <w:tcPr>
            <w:tcW w:w="468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2,268</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223"/>
        </w:trPr>
        <w:tc>
          <w:tcPr>
            <w:tcW w:w="4680" w:type="dxa"/>
            <w:vAlign w:val="bottom"/>
          </w:tcPr>
          <w:p>
            <w:pPr>
              <w:ind w:left="300"/>
              <w:spacing w:after="0"/>
              <w:rPr>
                <w:sz w:val="20"/>
                <w:szCs w:val="20"/>
                <w:color w:val="auto"/>
              </w:rPr>
            </w:pPr>
            <w:r>
              <w:rPr>
                <w:rFonts w:ascii="Arial" w:cs="Arial" w:eastAsia="Arial" w:hAnsi="Arial"/>
                <w:sz w:val="18"/>
                <w:szCs w:val="18"/>
                <w:color w:val="auto"/>
              </w:rPr>
              <w:t>Net loss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(5,113)</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(13,390)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(54,836)</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(62,255)</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680" w:type="dxa"/>
            <w:vAlign w:val="bottom"/>
          </w:tcPr>
          <w:p>
            <w:pPr>
              <w:spacing w:after="0"/>
              <w:rPr>
                <w:sz w:val="20"/>
                <w:szCs w:val="20"/>
                <w:color w:val="auto"/>
              </w:rPr>
            </w:pPr>
            <w:r>
              <w:rPr>
                <w:rFonts w:ascii="Arial" w:cs="Arial" w:eastAsia="Arial" w:hAnsi="Arial"/>
                <w:sz w:val="18"/>
                <w:szCs w:val="18"/>
                <w:color w:val="auto"/>
              </w:rPr>
              <w:t>Net loss per common share - basic and diluted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8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8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8"/>
                <w:szCs w:val="18"/>
                <w:color w:val="auto"/>
              </w:rPr>
              <w:t>Weighted average common shares outstanding - basic</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46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149,092,881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138,124,878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146,772,758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137,674,857</w:t>
            </w:r>
          </w:p>
        </w:tc>
        <w:tc>
          <w:tcPr>
            <w:tcW w:w="0" w:type="dxa"/>
            <w:vAlign w:val="bottom"/>
          </w:tcPr>
          <w:p>
            <w:pPr>
              <w:spacing w:after="0"/>
              <w:rPr>
                <w:sz w:val="1"/>
                <w:szCs w:val="1"/>
                <w:color w:val="auto"/>
              </w:rPr>
            </w:pPr>
          </w:p>
        </w:tc>
      </w:tr>
      <w:tr>
        <w:trPr>
          <w:trHeight w:val="208"/>
        </w:trPr>
        <w:tc>
          <w:tcPr>
            <w:tcW w:w="4680" w:type="dxa"/>
            <w:vAlign w:val="bottom"/>
          </w:tcPr>
          <w:p>
            <w:pPr>
              <w:spacing w:after="0"/>
              <w:rPr>
                <w:sz w:val="20"/>
                <w:szCs w:val="20"/>
                <w:color w:val="auto"/>
              </w:rPr>
            </w:pPr>
            <w:r>
              <w:rPr>
                <w:rFonts w:ascii="Arial" w:cs="Arial" w:eastAsia="Arial" w:hAnsi="Arial"/>
                <w:sz w:val="18"/>
                <w:szCs w:val="18"/>
                <w:color w:val="auto"/>
              </w:rPr>
              <w:t>and diluted</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00"/>
          </w:cols>
          <w:pgMar w:left="460" w:top="1128"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0"/>
          <w:szCs w:val="20"/>
          <w:b w:val="1"/>
          <w:bCs w:val="1"/>
          <w:color w:val="auto"/>
        </w:rPr>
        <w:t>XERIS BIOPHARMA HOLDINGS,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Non-GAAP Financial Measures - EBITDA and Adjusted EBITDA</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unaudited)</w:t>
      </w:r>
    </w:p>
    <w:p>
      <w:pPr>
        <w:spacing w:after="0" w:line="200" w:lineRule="exact"/>
        <w:rPr>
          <w:sz w:val="20"/>
          <w:szCs w:val="20"/>
          <w:color w:val="auto"/>
        </w:rPr>
      </w:pPr>
    </w:p>
    <w:p>
      <w:pPr>
        <w:spacing w:after="0" w:line="300"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4700" w:type="dxa"/>
            <w:vAlign w:val="bottom"/>
          </w:tcPr>
          <w:p>
            <w:pPr>
              <w:spacing w:after="0"/>
              <w:rPr>
                <w:sz w:val="17"/>
                <w:szCs w:val="17"/>
                <w:color w:val="auto"/>
              </w:rPr>
            </w:pPr>
          </w:p>
        </w:tc>
        <w:tc>
          <w:tcPr>
            <w:tcW w:w="3180" w:type="dxa"/>
            <w:vAlign w:val="bottom"/>
            <w:gridSpan w:val="6"/>
            <w:vMerge w:val="restart"/>
          </w:tcPr>
          <w:p>
            <w:pPr>
              <w:ind w:left="40"/>
              <w:spacing w:after="0"/>
              <w:rPr>
                <w:sz w:val="20"/>
                <w:szCs w:val="20"/>
                <w:color w:val="auto"/>
              </w:rPr>
            </w:pPr>
            <w:r>
              <w:rPr>
                <w:rFonts w:ascii="Arial" w:cs="Arial" w:eastAsia="Arial" w:hAnsi="Arial"/>
                <w:sz w:val="18"/>
                <w:szCs w:val="18"/>
                <w:b w:val="1"/>
                <w:bCs w:val="1"/>
                <w:color w:val="auto"/>
              </w:rPr>
              <w:t>Three Months Ended December 31,</w:t>
            </w:r>
          </w:p>
        </w:tc>
        <w:tc>
          <w:tcPr>
            <w:tcW w:w="340" w:type="dxa"/>
            <w:vAlign w:val="bottom"/>
          </w:tcPr>
          <w:p>
            <w:pPr>
              <w:spacing w:after="0"/>
              <w:rPr>
                <w:sz w:val="17"/>
                <w:szCs w:val="17"/>
                <w:color w:val="auto"/>
              </w:rPr>
            </w:pPr>
          </w:p>
        </w:tc>
        <w:tc>
          <w:tcPr>
            <w:tcW w:w="1800" w:type="dxa"/>
            <w:vAlign w:val="bottom"/>
            <w:gridSpan w:val="3"/>
          </w:tcPr>
          <w:p>
            <w:pPr>
              <w:ind w:left="640"/>
              <w:spacing w:after="0"/>
              <w:rPr>
                <w:sz w:val="20"/>
                <w:szCs w:val="20"/>
                <w:color w:val="auto"/>
              </w:rPr>
            </w:pPr>
            <w:r>
              <w:rPr>
                <w:rFonts w:ascii="Arial" w:cs="Arial" w:eastAsia="Arial" w:hAnsi="Arial"/>
                <w:sz w:val="18"/>
                <w:szCs w:val="18"/>
                <w:b w:val="1"/>
                <w:bCs w:val="1"/>
                <w:color w:val="auto"/>
              </w:rPr>
              <w:t>Years Ended</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700" w:type="dxa"/>
            <w:vAlign w:val="bottom"/>
          </w:tcPr>
          <w:p>
            <w:pPr>
              <w:spacing w:after="0"/>
              <w:rPr>
                <w:sz w:val="20"/>
                <w:szCs w:val="20"/>
                <w:color w:val="auto"/>
              </w:rPr>
            </w:pPr>
          </w:p>
        </w:tc>
        <w:tc>
          <w:tcPr>
            <w:tcW w:w="3180" w:type="dxa"/>
            <w:vAlign w:val="bottom"/>
            <w:gridSpan w:val="6"/>
            <w:vMerge w:val="continue"/>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gridSpan w:val="3"/>
          </w:tcPr>
          <w:p>
            <w:pPr>
              <w:ind w:left="620"/>
              <w:spacing w:after="0"/>
              <w:rPr>
                <w:sz w:val="20"/>
                <w:szCs w:val="20"/>
                <w:color w:val="auto"/>
              </w:rPr>
            </w:pPr>
            <w:r>
              <w:rPr>
                <w:rFonts w:ascii="Arial" w:cs="Arial" w:eastAsia="Arial" w:hAnsi="Arial"/>
                <w:sz w:val="18"/>
                <w:szCs w:val="18"/>
                <w:b w:val="1"/>
                <w:bCs w:val="1"/>
                <w:color w:val="auto"/>
                <w:w w:val="99"/>
              </w:rPr>
              <w:t>December 31,</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00" w:type="dxa"/>
            <w:vAlign w:val="bottom"/>
            <w:vMerge w:val="restart"/>
          </w:tcPr>
          <w:p>
            <w:pPr>
              <w:spacing w:after="0"/>
              <w:rPr>
                <w:sz w:val="20"/>
                <w:szCs w:val="20"/>
                <w:color w:val="auto"/>
              </w:rPr>
            </w:pPr>
            <w:r>
              <w:rPr>
                <w:rFonts w:ascii="Arial" w:cs="Arial" w:eastAsia="Arial" w:hAnsi="Arial"/>
                <w:sz w:val="18"/>
                <w:szCs w:val="18"/>
                <w:color w:val="auto"/>
              </w:rPr>
              <w:t>GAAP Net Loss</w:t>
            </w: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2023</w:t>
            </w:r>
          </w:p>
        </w:tc>
        <w:tc>
          <w:tcPr>
            <w:tcW w:w="0" w:type="dxa"/>
            <w:vAlign w:val="bottom"/>
          </w:tcPr>
          <w:p>
            <w:pPr>
              <w:spacing w:after="0"/>
              <w:rPr>
                <w:sz w:val="1"/>
                <w:szCs w:val="1"/>
                <w:color w:val="auto"/>
              </w:rPr>
            </w:pPr>
          </w:p>
        </w:tc>
      </w:tr>
      <w:tr>
        <w:trPr>
          <w:trHeight w:val="232"/>
        </w:trPr>
        <w:tc>
          <w:tcPr>
            <w:tcW w:w="4700" w:type="dxa"/>
            <w:vAlign w:val="bottom"/>
            <w:vMerge w:val="continue"/>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(5,113)</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(13,390)</w:t>
            </w:r>
          </w:p>
        </w:tc>
        <w:tc>
          <w:tcPr>
            <w:tcW w:w="8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(54,836)</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(62,255)</w:t>
            </w:r>
          </w:p>
        </w:tc>
        <w:tc>
          <w:tcPr>
            <w:tcW w:w="0" w:type="dxa"/>
            <w:vAlign w:val="bottom"/>
          </w:tcPr>
          <w:p>
            <w:pPr>
              <w:spacing w:after="0"/>
              <w:rPr>
                <w:sz w:val="1"/>
                <w:szCs w:val="1"/>
                <w:color w:val="auto"/>
              </w:rPr>
            </w:pPr>
          </w:p>
        </w:tc>
      </w:tr>
      <w:tr>
        <w:trPr>
          <w:trHeight w:val="242"/>
        </w:trPr>
        <w:tc>
          <w:tcPr>
            <w:tcW w:w="4700" w:type="dxa"/>
            <w:vAlign w:val="bottom"/>
          </w:tcPr>
          <w:p>
            <w:pPr>
              <w:spacing w:after="0"/>
              <w:rPr>
                <w:sz w:val="20"/>
                <w:szCs w:val="20"/>
                <w:color w:val="auto"/>
              </w:rPr>
            </w:pPr>
            <w:r>
              <w:rPr>
                <w:rFonts w:ascii="Arial" w:cs="Arial" w:eastAsia="Arial" w:hAnsi="Arial"/>
                <w:sz w:val="18"/>
                <w:szCs w:val="18"/>
                <w:color w:val="auto"/>
              </w:rPr>
              <w:t>Adjustments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20"/>
              <w:spacing w:after="0"/>
              <w:rPr>
                <w:sz w:val="20"/>
                <w:szCs w:val="20"/>
                <w:color w:val="auto"/>
              </w:rPr>
            </w:pPr>
            <w:r>
              <w:rPr>
                <w:rFonts w:ascii="Arial" w:cs="Arial" w:eastAsia="Arial" w:hAnsi="Arial"/>
                <w:sz w:val="18"/>
                <w:szCs w:val="18"/>
                <w:color w:val="auto"/>
              </w:rPr>
              <w:t>Interest and other income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(5,321)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(4,751)</w:t>
            </w:r>
          </w:p>
        </w:tc>
        <w:tc>
          <w:tcPr>
            <w:tcW w:w="0" w:type="dxa"/>
            <w:vAlign w:val="bottom"/>
          </w:tcPr>
          <w:p>
            <w:pPr>
              <w:spacing w:after="0"/>
              <w:rPr>
                <w:sz w:val="1"/>
                <w:szCs w:val="1"/>
                <w:color w:val="auto"/>
              </w:rPr>
            </w:pPr>
          </w:p>
        </w:tc>
      </w:tr>
      <w:tr>
        <w:trPr>
          <w:trHeight w:val="229"/>
        </w:trPr>
        <w:tc>
          <w:tcPr>
            <w:tcW w:w="470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7,018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30,485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26,609</w:t>
            </w:r>
          </w:p>
        </w:tc>
        <w:tc>
          <w:tcPr>
            <w:tcW w:w="0" w:type="dxa"/>
            <w:vAlign w:val="bottom"/>
          </w:tcPr>
          <w:p>
            <w:pPr>
              <w:spacing w:after="0"/>
              <w:rPr>
                <w:sz w:val="1"/>
                <w:szCs w:val="1"/>
                <w:color w:val="auto"/>
              </w:rPr>
            </w:pPr>
          </w:p>
        </w:tc>
      </w:tr>
      <w:tr>
        <w:trPr>
          <w:trHeight w:val="230"/>
        </w:trPr>
        <w:tc>
          <w:tcPr>
            <w:tcW w:w="4700" w:type="dxa"/>
            <w:vAlign w:val="bottom"/>
          </w:tcPr>
          <w:p>
            <w:pPr>
              <w:ind w:left="220"/>
              <w:spacing w:after="0"/>
              <w:rPr>
                <w:sz w:val="20"/>
                <w:szCs w:val="20"/>
                <w:color w:val="auto"/>
              </w:rPr>
            </w:pPr>
            <w:r>
              <w:rPr>
                <w:rFonts w:ascii="Arial" w:cs="Arial" w:eastAsia="Arial" w:hAnsi="Arial"/>
                <w:sz w:val="18"/>
                <w:szCs w:val="18"/>
                <w:color w:val="auto"/>
              </w:rPr>
              <w:t>Income tax (benefit) expense</w:t>
            </w:r>
          </w:p>
        </w:tc>
        <w:tc>
          <w:tcPr>
            <w:tcW w:w="3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(2,268)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235"/>
        </w:trPr>
        <w:tc>
          <w:tcPr>
            <w:tcW w:w="470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3,024</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3,057</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12,070</w:t>
            </w:r>
          </w:p>
        </w:tc>
        <w:tc>
          <w:tcPr>
            <w:tcW w:w="1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12,330</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EBITDA</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4,704</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(4,658)</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(19,870)</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(29,316)</w:t>
            </w:r>
          </w:p>
        </w:tc>
        <w:tc>
          <w:tcPr>
            <w:tcW w:w="0" w:type="dxa"/>
            <w:vAlign w:val="bottom"/>
          </w:tcPr>
          <w:p>
            <w:pPr>
              <w:spacing w:after="0"/>
              <w:rPr>
                <w:sz w:val="1"/>
                <w:szCs w:val="1"/>
                <w:color w:val="auto"/>
              </w:rPr>
            </w:pPr>
          </w:p>
        </w:tc>
      </w:tr>
      <w:tr>
        <w:trPr>
          <w:trHeight w:val="204"/>
        </w:trPr>
        <w:tc>
          <w:tcPr>
            <w:tcW w:w="4700" w:type="dxa"/>
            <w:vAlign w:val="bottom"/>
          </w:tcPr>
          <w:p>
            <w:pPr>
              <w:spacing w:after="0" w:line="204" w:lineRule="exact"/>
              <w:rPr>
                <w:sz w:val="20"/>
                <w:szCs w:val="20"/>
                <w:color w:val="auto"/>
              </w:rPr>
            </w:pPr>
            <w:r>
              <w:rPr>
                <w:rFonts w:ascii="Arial" w:cs="Arial" w:eastAsia="Arial" w:hAnsi="Arial"/>
                <w:sz w:val="18"/>
                <w:szCs w:val="18"/>
                <w:color w:val="auto"/>
              </w:rPr>
              <w:t>Adjustments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4700" w:type="dxa"/>
            <w:vAlign w:val="bottom"/>
          </w:tcPr>
          <w:p>
            <w:pPr>
              <w:ind w:left="220"/>
              <w:spacing w:after="0"/>
              <w:rPr>
                <w:sz w:val="20"/>
                <w:szCs w:val="20"/>
                <w:color w:val="auto"/>
              </w:rPr>
            </w:pPr>
            <w:r>
              <w:rPr>
                <w:rFonts w:ascii="Arial" w:cs="Arial" w:eastAsia="Arial" w:hAnsi="Arial"/>
                <w:sz w:val="18"/>
                <w:szCs w:val="18"/>
                <w:color w:val="auto"/>
              </w:rPr>
              <w:t>Share-based compensation (a)</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2,767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18,363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10,716</w:t>
            </w:r>
          </w:p>
        </w:tc>
        <w:tc>
          <w:tcPr>
            <w:tcW w:w="0" w:type="dxa"/>
            <w:vAlign w:val="bottom"/>
          </w:tcPr>
          <w:p>
            <w:pPr>
              <w:spacing w:after="0"/>
              <w:rPr>
                <w:sz w:val="1"/>
                <w:szCs w:val="1"/>
                <w:color w:val="auto"/>
              </w:rPr>
            </w:pPr>
          </w:p>
        </w:tc>
      </w:tr>
      <w:tr>
        <w:trPr>
          <w:trHeight w:val="234"/>
        </w:trPr>
        <w:tc>
          <w:tcPr>
            <w:tcW w:w="4700" w:type="dxa"/>
            <w:vAlign w:val="bottom"/>
          </w:tcPr>
          <w:p>
            <w:pPr>
              <w:ind w:left="220"/>
              <w:spacing w:after="0"/>
              <w:rPr>
                <w:sz w:val="20"/>
                <w:szCs w:val="20"/>
                <w:color w:val="auto"/>
              </w:rPr>
            </w:pPr>
            <w:r>
              <w:rPr>
                <w:rFonts w:ascii="Arial" w:cs="Arial" w:eastAsia="Arial" w:hAnsi="Arial"/>
                <w:sz w:val="18"/>
                <w:szCs w:val="18"/>
                <w:color w:val="auto"/>
              </w:rPr>
              <w:t>Debt refinancing fees (b)</w:t>
            </w:r>
          </w:p>
        </w:tc>
        <w:tc>
          <w:tcPr>
            <w:tcW w:w="34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2,690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4700" w:type="dxa"/>
            <w:vAlign w:val="bottom"/>
          </w:tcPr>
          <w:p>
            <w:pPr>
              <w:ind w:left="220"/>
              <w:spacing w:after="0"/>
              <w:rPr>
                <w:sz w:val="20"/>
                <w:szCs w:val="20"/>
                <w:color w:val="auto"/>
              </w:rPr>
            </w:pPr>
            <w:r>
              <w:rPr>
                <w:rFonts w:ascii="Arial" w:cs="Arial" w:eastAsia="Arial" w:hAnsi="Arial"/>
                <w:sz w:val="18"/>
                <w:szCs w:val="18"/>
                <w:color w:val="auto"/>
              </w:rPr>
              <w:t>Loss on debt extinguishment, net (b)</w:t>
            </w:r>
          </w:p>
        </w:tc>
        <w:tc>
          <w:tcPr>
            <w:tcW w:w="34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2,837</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Adjusted EBITDA</w:t>
            </w: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8,299</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(1,891)</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1,183</w:t>
            </w: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280" w:hanging="272"/>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non-cash, stock-based compensation, net of forfeitures.</w:t>
      </w:r>
    </w:p>
    <w:p>
      <w:pPr>
        <w:spacing w:after="0" w:line="238" w:lineRule="exact"/>
        <w:rPr>
          <w:rFonts w:ascii="Arial" w:cs="Arial" w:eastAsia="Arial" w:hAnsi="Arial"/>
          <w:sz w:val="18"/>
          <w:szCs w:val="18"/>
          <w:color w:val="auto"/>
        </w:rPr>
      </w:pPr>
    </w:p>
    <w:p>
      <w:pPr>
        <w:jc w:val="both"/>
        <w:ind w:right="20" w:firstLine="8"/>
        <w:spacing w:after="0" w:line="247" w:lineRule="auto"/>
        <w:tabs>
          <w:tab w:leader="none" w:pos="27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non-recurring fees related to financing activities. Including (1) debt refinancing fees which related to advisory and legal fees to refinance the term loan in 2024 and (2) loss on debt extinguishment related to the exchange in September 2023 of $32.0 million in aggregate principal of 5.00% Convertible Senior Notes due 2025 for $33.6 million in aggregate principal amount of new 8.00% Convertible Senior Notes due 2028.</w:t>
      </w: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128" w:right="339" w:bottom="1440" w:gutter="0" w:footer="0" w:header="0"/>
        </w:sectPr>
      </w:pPr>
    </w:p>
    <w:bookmarkStart w:id="9" w:name="page10"/>
    <w:bookmarkEnd w:id="9"/>
    <w:p>
      <w:pPr>
        <w:jc w:val="center"/>
        <w:ind w:right="60"/>
        <w:spacing w:after="0"/>
        <w:rPr>
          <w:sz w:val="20"/>
          <w:szCs w:val="20"/>
          <w:color w:val="auto"/>
        </w:rPr>
      </w:pPr>
      <w:r>
        <w:rPr>
          <w:rFonts w:ascii="Arial" w:cs="Arial" w:eastAsia="Arial" w:hAnsi="Arial"/>
          <w:sz w:val="20"/>
          <w:szCs w:val="20"/>
          <w:b w:val="1"/>
          <w:bCs w:val="1"/>
          <w:color w:val="auto"/>
        </w:rPr>
        <w:t>XERIS BIOPHARMA HOLDINGS, INC.</w:t>
      </w:r>
    </w:p>
    <w:p>
      <w:pPr>
        <w:spacing w:after="0" w:line="33"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CONDENSED CONSOLIDATED BALANCE SHEETS</w:t>
      </w:r>
    </w:p>
    <w:p>
      <w:pPr>
        <w:spacing w:after="0" w:line="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 2024</w:t>
            </w:r>
          </w:p>
        </w:tc>
        <w:tc>
          <w:tcPr>
            <w:tcW w:w="200" w:type="dxa"/>
            <w:vAlign w:val="bottom"/>
          </w:tcPr>
          <w:p>
            <w:pPr>
              <w:spacing w:after="0"/>
              <w:rPr>
                <w:sz w:val="20"/>
                <w:szCs w:val="20"/>
                <w:color w:val="auto"/>
              </w:rPr>
            </w:pPr>
          </w:p>
        </w:tc>
        <w:tc>
          <w:tcPr>
            <w:tcW w:w="2000" w:type="dxa"/>
            <w:vAlign w:val="bottom"/>
          </w:tcPr>
          <w:p>
            <w:pPr>
              <w:jc w:val="right"/>
              <w:ind w:right="210"/>
              <w:spacing w:after="0"/>
              <w:rPr>
                <w:sz w:val="20"/>
                <w:szCs w:val="20"/>
                <w:color w:val="auto"/>
              </w:rPr>
            </w:pPr>
            <w:r>
              <w:rPr>
                <w:rFonts w:ascii="Arial" w:cs="Arial" w:eastAsia="Arial" w:hAnsi="Arial"/>
                <w:sz w:val="18"/>
                <w:szCs w:val="18"/>
                <w:b w:val="1"/>
                <w:bCs w:val="1"/>
                <w:color w:val="auto"/>
              </w:rPr>
              <w:t>December 31, 2023</w:t>
            </w:r>
          </w:p>
        </w:tc>
        <w:tc>
          <w:tcPr>
            <w:tcW w:w="0" w:type="dxa"/>
            <w:vAlign w:val="bottom"/>
          </w:tcPr>
          <w:p>
            <w:pPr>
              <w:spacing w:after="0"/>
              <w:rPr>
                <w:sz w:val="1"/>
                <w:szCs w:val="1"/>
                <w:color w:val="auto"/>
              </w:rPr>
            </w:pPr>
          </w:p>
        </w:tc>
      </w:tr>
      <w:tr>
        <w:trPr>
          <w:trHeight w:val="474"/>
        </w:trPr>
        <w:tc>
          <w:tcPr>
            <w:tcW w:w="666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tcPr>
          <w:p>
            <w:pPr>
              <w:spacing w:after="0"/>
              <w:rPr>
                <w:sz w:val="24"/>
                <w:szCs w:val="24"/>
                <w:color w:val="auto"/>
              </w:rPr>
            </w:pPr>
          </w:p>
        </w:tc>
        <w:tc>
          <w:tcPr>
            <w:tcW w:w="20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270"/>
              <w:spacing w:after="0"/>
              <w:rPr>
                <w:sz w:val="20"/>
                <w:szCs w:val="20"/>
                <w:color w:val="auto"/>
              </w:rPr>
            </w:pPr>
            <w:r>
              <w:rPr>
                <w:rFonts w:ascii="Arial" w:cs="Arial" w:eastAsia="Arial" w:hAnsi="Arial"/>
                <w:sz w:val="18"/>
                <w:szCs w:val="18"/>
                <w:color w:val="auto"/>
              </w:rPr>
              <w:t>71,621</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250"/>
              <w:spacing w:after="0"/>
              <w:rPr>
                <w:sz w:val="20"/>
                <w:szCs w:val="20"/>
                <w:color w:val="auto"/>
              </w:rPr>
            </w:pPr>
            <w:r>
              <w:rPr>
                <w:rFonts w:ascii="Arial" w:cs="Arial" w:eastAsia="Arial" w:hAnsi="Arial"/>
                <w:sz w:val="18"/>
                <w:szCs w:val="18"/>
                <w:color w:val="auto"/>
              </w:rPr>
              <w:t>67,449</w:t>
            </w:r>
          </w:p>
        </w:tc>
        <w:tc>
          <w:tcPr>
            <w:tcW w:w="0" w:type="dxa"/>
            <w:vAlign w:val="bottom"/>
          </w:tcPr>
          <w:p>
            <w:pPr>
              <w:spacing w:after="0"/>
              <w:rPr>
                <w:sz w:val="1"/>
                <w:szCs w:val="1"/>
                <w:color w:val="auto"/>
              </w:rPr>
            </w:pPr>
          </w:p>
        </w:tc>
      </w:tr>
      <w:tr>
        <w:trPr>
          <w:trHeight w:val="229"/>
        </w:trPr>
        <w:tc>
          <w:tcPr>
            <w:tcW w:w="6660" w:type="dxa"/>
            <w:vAlign w:val="bottom"/>
          </w:tcPr>
          <w:p>
            <w:pPr>
              <w:ind w:left="160"/>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19"/>
                <w:szCs w:val="19"/>
                <w:color w:val="auto"/>
              </w:rPr>
            </w:pPr>
          </w:p>
        </w:tc>
        <w:tc>
          <w:tcPr>
            <w:tcW w:w="21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0" w:type="dxa"/>
            <w:vAlign w:val="bottom"/>
          </w:tcPr>
          <w:p>
            <w:pPr>
              <w:jc w:val="right"/>
              <w:ind w:right="250"/>
              <w:spacing w:after="0"/>
              <w:rPr>
                <w:sz w:val="20"/>
                <w:szCs w:val="20"/>
                <w:color w:val="auto"/>
              </w:rPr>
            </w:pPr>
            <w:r>
              <w:rPr>
                <w:rFonts w:ascii="Arial" w:cs="Arial" w:eastAsia="Arial" w:hAnsi="Arial"/>
                <w:sz w:val="18"/>
                <w:szCs w:val="18"/>
                <w:color w:val="auto"/>
              </w:rPr>
              <w:t>5,002</w:t>
            </w:r>
          </w:p>
        </w:tc>
        <w:tc>
          <w:tcPr>
            <w:tcW w:w="0" w:type="dxa"/>
            <w:vAlign w:val="bottom"/>
          </w:tcPr>
          <w:p>
            <w:pPr>
              <w:spacing w:after="0"/>
              <w:rPr>
                <w:sz w:val="1"/>
                <w:szCs w:val="1"/>
                <w:color w:val="auto"/>
              </w:rPr>
            </w:pPr>
          </w:p>
        </w:tc>
      </w:tr>
      <w:tr>
        <w:trPr>
          <w:trHeight w:val="230"/>
        </w:trPr>
        <w:tc>
          <w:tcPr>
            <w:tcW w:w="6660" w:type="dxa"/>
            <w:vAlign w:val="bottom"/>
          </w:tcPr>
          <w:p>
            <w:pPr>
              <w:ind w:left="160"/>
              <w:spacing w:after="0"/>
              <w:rPr>
                <w:sz w:val="20"/>
                <w:szCs w:val="20"/>
                <w:color w:val="auto"/>
              </w:rPr>
            </w:pPr>
            <w:r>
              <w:rPr>
                <w:rFonts w:ascii="Arial" w:cs="Arial" w:eastAsia="Arial" w:hAnsi="Arial"/>
                <w:sz w:val="18"/>
                <w:szCs w:val="18"/>
                <w:color w:val="auto"/>
              </w:rPr>
              <w:t>Trade accounts receivable, net</w:t>
            </w:r>
          </w:p>
        </w:tc>
        <w:tc>
          <w:tcPr>
            <w:tcW w:w="200" w:type="dxa"/>
            <w:vAlign w:val="bottom"/>
          </w:tcPr>
          <w:p>
            <w:pPr>
              <w:spacing w:after="0"/>
              <w:rPr>
                <w:sz w:val="19"/>
                <w:szCs w:val="19"/>
                <w:color w:val="auto"/>
              </w:rPr>
            </w:pPr>
          </w:p>
        </w:tc>
        <w:tc>
          <w:tcPr>
            <w:tcW w:w="2020" w:type="dxa"/>
            <w:vAlign w:val="bottom"/>
          </w:tcPr>
          <w:p>
            <w:pPr>
              <w:jc w:val="right"/>
              <w:ind w:right="270"/>
              <w:spacing w:after="0"/>
              <w:rPr>
                <w:sz w:val="20"/>
                <w:szCs w:val="20"/>
                <w:color w:val="auto"/>
              </w:rPr>
            </w:pPr>
            <w:r>
              <w:rPr>
                <w:rFonts w:ascii="Arial" w:cs="Arial" w:eastAsia="Arial" w:hAnsi="Arial"/>
                <w:sz w:val="18"/>
                <w:szCs w:val="18"/>
                <w:color w:val="auto"/>
              </w:rPr>
              <w:t>40,415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ind w:right="250"/>
              <w:spacing w:after="0"/>
              <w:rPr>
                <w:sz w:val="20"/>
                <w:szCs w:val="20"/>
                <w:color w:val="auto"/>
              </w:rPr>
            </w:pPr>
            <w:r>
              <w:rPr>
                <w:rFonts w:ascii="Arial" w:cs="Arial" w:eastAsia="Arial" w:hAnsi="Arial"/>
                <w:sz w:val="18"/>
                <w:szCs w:val="18"/>
                <w:color w:val="auto"/>
              </w:rPr>
              <w:t>39,197</w:t>
            </w:r>
          </w:p>
        </w:tc>
        <w:tc>
          <w:tcPr>
            <w:tcW w:w="0" w:type="dxa"/>
            <w:vAlign w:val="bottom"/>
          </w:tcPr>
          <w:p>
            <w:pPr>
              <w:spacing w:after="0"/>
              <w:rPr>
                <w:sz w:val="1"/>
                <w:szCs w:val="1"/>
                <w:color w:val="auto"/>
              </w:rPr>
            </w:pPr>
          </w:p>
        </w:tc>
      </w:tr>
      <w:tr>
        <w:trPr>
          <w:trHeight w:val="229"/>
        </w:trPr>
        <w:tc>
          <w:tcPr>
            <w:tcW w:w="6660" w:type="dxa"/>
            <w:vAlign w:val="bottom"/>
          </w:tcPr>
          <w:p>
            <w:pPr>
              <w:ind w:left="160"/>
              <w:spacing w:after="0"/>
              <w:rPr>
                <w:sz w:val="20"/>
                <w:szCs w:val="20"/>
                <w:color w:val="auto"/>
              </w:rPr>
            </w:pPr>
            <w:r>
              <w:rPr>
                <w:rFonts w:ascii="Arial" w:cs="Arial" w:eastAsia="Arial" w:hAnsi="Arial"/>
                <w:sz w:val="18"/>
                <w:szCs w:val="18"/>
                <w:color w:val="auto"/>
              </w:rPr>
              <w:t>Inventory</w:t>
            </w:r>
          </w:p>
        </w:tc>
        <w:tc>
          <w:tcPr>
            <w:tcW w:w="200" w:type="dxa"/>
            <w:vAlign w:val="bottom"/>
          </w:tcPr>
          <w:p>
            <w:pPr>
              <w:spacing w:after="0"/>
              <w:rPr>
                <w:sz w:val="19"/>
                <w:szCs w:val="19"/>
                <w:color w:val="auto"/>
              </w:rPr>
            </w:pPr>
          </w:p>
        </w:tc>
        <w:tc>
          <w:tcPr>
            <w:tcW w:w="2020" w:type="dxa"/>
            <w:vAlign w:val="bottom"/>
          </w:tcPr>
          <w:p>
            <w:pPr>
              <w:jc w:val="right"/>
              <w:ind w:right="270"/>
              <w:spacing w:after="0"/>
              <w:rPr>
                <w:sz w:val="20"/>
                <w:szCs w:val="20"/>
                <w:color w:val="auto"/>
              </w:rPr>
            </w:pPr>
            <w:r>
              <w:rPr>
                <w:rFonts w:ascii="Arial" w:cs="Arial" w:eastAsia="Arial" w:hAnsi="Arial"/>
                <w:sz w:val="18"/>
                <w:szCs w:val="18"/>
                <w:color w:val="auto"/>
              </w:rPr>
              <w:t>48,175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ind w:right="250"/>
              <w:spacing w:after="0"/>
              <w:rPr>
                <w:sz w:val="20"/>
                <w:szCs w:val="20"/>
                <w:color w:val="auto"/>
              </w:rPr>
            </w:pPr>
            <w:r>
              <w:rPr>
                <w:rFonts w:ascii="Arial" w:cs="Arial" w:eastAsia="Arial" w:hAnsi="Arial"/>
                <w:sz w:val="18"/>
                <w:szCs w:val="18"/>
                <w:color w:val="auto"/>
              </w:rPr>
              <w:t>38,838</w:t>
            </w:r>
          </w:p>
        </w:tc>
        <w:tc>
          <w:tcPr>
            <w:tcW w:w="0" w:type="dxa"/>
            <w:vAlign w:val="bottom"/>
          </w:tcPr>
          <w:p>
            <w:pPr>
              <w:spacing w:after="0"/>
              <w:rPr>
                <w:sz w:val="1"/>
                <w:szCs w:val="1"/>
                <w:color w:val="auto"/>
              </w:rPr>
            </w:pPr>
          </w:p>
        </w:tc>
      </w:tr>
      <w:tr>
        <w:trPr>
          <w:trHeight w:val="235"/>
        </w:trPr>
        <w:tc>
          <w:tcPr>
            <w:tcW w:w="666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7,451</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5,778</w:t>
            </w:r>
          </w:p>
        </w:tc>
        <w:tc>
          <w:tcPr>
            <w:tcW w:w="0" w:type="dxa"/>
            <w:vAlign w:val="bottom"/>
          </w:tcPr>
          <w:p>
            <w:pPr>
              <w:spacing w:after="0"/>
              <w:rPr>
                <w:sz w:val="1"/>
                <w:szCs w:val="1"/>
                <w:color w:val="auto"/>
              </w:rPr>
            </w:pPr>
          </w:p>
        </w:tc>
      </w:tr>
      <w:tr>
        <w:trPr>
          <w:trHeight w:val="218"/>
        </w:trPr>
        <w:tc>
          <w:tcPr>
            <w:tcW w:w="666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8"/>
                <w:szCs w:val="18"/>
                <w:color w:val="auto"/>
              </w:rPr>
            </w:pPr>
          </w:p>
        </w:tc>
        <w:tc>
          <w:tcPr>
            <w:tcW w:w="2020" w:type="dxa"/>
            <w:vAlign w:val="bottom"/>
          </w:tcPr>
          <w:p>
            <w:pPr>
              <w:jc w:val="right"/>
              <w:ind w:right="270"/>
              <w:spacing w:after="0"/>
              <w:rPr>
                <w:sz w:val="20"/>
                <w:szCs w:val="20"/>
                <w:color w:val="auto"/>
              </w:rPr>
            </w:pPr>
            <w:r>
              <w:rPr>
                <w:rFonts w:ascii="Arial" w:cs="Arial" w:eastAsia="Arial" w:hAnsi="Arial"/>
                <w:sz w:val="18"/>
                <w:szCs w:val="18"/>
                <w:color w:val="auto"/>
              </w:rPr>
              <w:t>167,662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tcPr>
          <w:p>
            <w:pPr>
              <w:jc w:val="right"/>
              <w:ind w:right="250"/>
              <w:spacing w:after="0"/>
              <w:rPr>
                <w:sz w:val="20"/>
                <w:szCs w:val="20"/>
                <w:color w:val="auto"/>
              </w:rPr>
            </w:pPr>
            <w:r>
              <w:rPr>
                <w:rFonts w:ascii="Arial" w:cs="Arial" w:eastAsia="Arial" w:hAnsi="Arial"/>
                <w:sz w:val="18"/>
                <w:szCs w:val="18"/>
                <w:color w:val="auto"/>
              </w:rPr>
              <w:t>156,264</w:t>
            </w:r>
          </w:p>
        </w:tc>
        <w:tc>
          <w:tcPr>
            <w:tcW w:w="0" w:type="dxa"/>
            <w:vAlign w:val="bottom"/>
          </w:tcPr>
          <w:p>
            <w:pPr>
              <w:spacing w:after="0"/>
              <w:rPr>
                <w:sz w:val="1"/>
                <w:szCs w:val="1"/>
                <w:color w:val="auto"/>
              </w:rPr>
            </w:pPr>
          </w:p>
        </w:tc>
      </w:tr>
      <w:tr>
        <w:trPr>
          <w:trHeight w:val="229"/>
        </w:trPr>
        <w:tc>
          <w:tcPr>
            <w:tcW w:w="66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9"/>
                <w:szCs w:val="19"/>
                <w:color w:val="auto"/>
              </w:rPr>
            </w:pPr>
          </w:p>
        </w:tc>
        <w:tc>
          <w:tcPr>
            <w:tcW w:w="2020" w:type="dxa"/>
            <w:vAlign w:val="bottom"/>
          </w:tcPr>
          <w:p>
            <w:pPr>
              <w:jc w:val="right"/>
              <w:ind w:right="270"/>
              <w:spacing w:after="0"/>
              <w:rPr>
                <w:sz w:val="20"/>
                <w:szCs w:val="20"/>
                <w:color w:val="auto"/>
              </w:rPr>
            </w:pPr>
            <w:r>
              <w:rPr>
                <w:rFonts w:ascii="Arial" w:cs="Arial" w:eastAsia="Arial" w:hAnsi="Arial"/>
                <w:sz w:val="18"/>
                <w:szCs w:val="18"/>
                <w:color w:val="auto"/>
              </w:rPr>
              <w:t>5,562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ind w:right="250"/>
              <w:spacing w:after="0"/>
              <w:rPr>
                <w:sz w:val="20"/>
                <w:szCs w:val="20"/>
                <w:color w:val="auto"/>
              </w:rPr>
            </w:pPr>
            <w:r>
              <w:rPr>
                <w:rFonts w:ascii="Arial" w:cs="Arial" w:eastAsia="Arial" w:hAnsi="Arial"/>
                <w:sz w:val="18"/>
                <w:szCs w:val="18"/>
                <w:color w:val="auto"/>
              </w:rPr>
              <w:t>5,971</w:t>
            </w:r>
          </w:p>
        </w:tc>
        <w:tc>
          <w:tcPr>
            <w:tcW w:w="0" w:type="dxa"/>
            <w:vAlign w:val="bottom"/>
          </w:tcPr>
          <w:p>
            <w:pPr>
              <w:spacing w:after="0"/>
              <w:rPr>
                <w:sz w:val="1"/>
                <w:szCs w:val="1"/>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19"/>
                <w:szCs w:val="19"/>
                <w:color w:val="auto"/>
              </w:rPr>
            </w:pPr>
          </w:p>
        </w:tc>
        <w:tc>
          <w:tcPr>
            <w:tcW w:w="2020" w:type="dxa"/>
            <w:vAlign w:val="bottom"/>
          </w:tcPr>
          <w:p>
            <w:pPr>
              <w:jc w:val="right"/>
              <w:ind w:right="270"/>
              <w:spacing w:after="0"/>
              <w:rPr>
                <w:sz w:val="20"/>
                <w:szCs w:val="20"/>
                <w:color w:val="auto"/>
              </w:rPr>
            </w:pPr>
            <w:r>
              <w:rPr>
                <w:rFonts w:ascii="Arial" w:cs="Arial" w:eastAsia="Arial" w:hAnsi="Arial"/>
                <w:sz w:val="18"/>
                <w:szCs w:val="18"/>
                <w:color w:val="auto"/>
              </w:rPr>
              <w:t>98,921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ind w:right="250"/>
              <w:spacing w:after="0"/>
              <w:rPr>
                <w:sz w:val="20"/>
                <w:szCs w:val="20"/>
                <w:color w:val="auto"/>
              </w:rPr>
            </w:pPr>
            <w:r>
              <w:rPr>
                <w:rFonts w:ascii="Arial" w:cs="Arial" w:eastAsia="Arial" w:hAnsi="Arial"/>
                <w:sz w:val="18"/>
                <w:szCs w:val="18"/>
                <w:color w:val="auto"/>
              </w:rPr>
              <w:t>109,764</w:t>
            </w:r>
          </w:p>
        </w:tc>
        <w:tc>
          <w:tcPr>
            <w:tcW w:w="0" w:type="dxa"/>
            <w:vAlign w:val="bottom"/>
          </w:tcPr>
          <w:p>
            <w:pPr>
              <w:spacing w:after="0"/>
              <w:rPr>
                <w:sz w:val="1"/>
                <w:szCs w:val="1"/>
                <w:color w:val="auto"/>
              </w:rPr>
            </w:pPr>
          </w:p>
        </w:tc>
      </w:tr>
      <w:tr>
        <w:trPr>
          <w:trHeight w:val="229"/>
        </w:trPr>
        <w:tc>
          <w:tcPr>
            <w:tcW w:w="6660" w:type="dxa"/>
            <w:vAlign w:val="bottom"/>
          </w:tcPr>
          <w:p>
            <w:pPr>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9"/>
                <w:szCs w:val="19"/>
                <w:color w:val="auto"/>
              </w:rPr>
            </w:pPr>
          </w:p>
        </w:tc>
        <w:tc>
          <w:tcPr>
            <w:tcW w:w="2020" w:type="dxa"/>
            <w:vAlign w:val="bottom"/>
          </w:tcPr>
          <w:p>
            <w:pPr>
              <w:jc w:val="right"/>
              <w:ind w:right="270"/>
              <w:spacing w:after="0"/>
              <w:rPr>
                <w:sz w:val="20"/>
                <w:szCs w:val="20"/>
                <w:color w:val="auto"/>
              </w:rPr>
            </w:pPr>
            <w:r>
              <w:rPr>
                <w:rFonts w:ascii="Arial" w:cs="Arial" w:eastAsia="Arial" w:hAnsi="Arial"/>
                <w:sz w:val="18"/>
                <w:szCs w:val="18"/>
                <w:color w:val="auto"/>
              </w:rPr>
              <w:t>22,859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ind w:right="250"/>
              <w:spacing w:after="0"/>
              <w:rPr>
                <w:sz w:val="20"/>
                <w:szCs w:val="20"/>
                <w:color w:val="auto"/>
              </w:rPr>
            </w:pPr>
            <w:r>
              <w:rPr>
                <w:rFonts w:ascii="Arial" w:cs="Arial" w:eastAsia="Arial" w:hAnsi="Arial"/>
                <w:sz w:val="18"/>
                <w:szCs w:val="18"/>
                <w:color w:val="auto"/>
              </w:rPr>
              <w:t>22,859</w:t>
            </w:r>
          </w:p>
        </w:tc>
        <w:tc>
          <w:tcPr>
            <w:tcW w:w="0" w:type="dxa"/>
            <w:vAlign w:val="bottom"/>
          </w:tcPr>
          <w:p>
            <w:pPr>
              <w:spacing w:after="0"/>
              <w:rPr>
                <w:sz w:val="1"/>
                <w:szCs w:val="1"/>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Pr>
          <w:p>
            <w:pPr>
              <w:spacing w:after="0"/>
              <w:rPr>
                <w:sz w:val="19"/>
                <w:szCs w:val="19"/>
                <w:color w:val="auto"/>
              </w:rPr>
            </w:pPr>
          </w:p>
        </w:tc>
        <w:tc>
          <w:tcPr>
            <w:tcW w:w="2020" w:type="dxa"/>
            <w:vAlign w:val="bottom"/>
          </w:tcPr>
          <w:p>
            <w:pPr>
              <w:jc w:val="right"/>
              <w:ind w:right="270"/>
              <w:spacing w:after="0"/>
              <w:rPr>
                <w:sz w:val="20"/>
                <w:szCs w:val="20"/>
                <w:color w:val="auto"/>
              </w:rPr>
            </w:pPr>
            <w:r>
              <w:rPr>
                <w:rFonts w:ascii="Arial" w:cs="Arial" w:eastAsia="Arial" w:hAnsi="Arial"/>
                <w:sz w:val="18"/>
                <w:szCs w:val="18"/>
                <w:color w:val="auto"/>
              </w:rPr>
              <w:t>22,649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ind w:right="250"/>
              <w:spacing w:after="0"/>
              <w:rPr>
                <w:sz w:val="20"/>
                <w:szCs w:val="20"/>
                <w:color w:val="auto"/>
              </w:rPr>
            </w:pPr>
            <w:r>
              <w:rPr>
                <w:rFonts w:ascii="Arial" w:cs="Arial" w:eastAsia="Arial" w:hAnsi="Arial"/>
                <w:sz w:val="18"/>
                <w:szCs w:val="18"/>
                <w:color w:val="auto"/>
              </w:rPr>
              <w:t>23,204</w:t>
            </w:r>
          </w:p>
        </w:tc>
        <w:tc>
          <w:tcPr>
            <w:tcW w:w="0" w:type="dxa"/>
            <w:vAlign w:val="bottom"/>
          </w:tcPr>
          <w:p>
            <w:pPr>
              <w:spacing w:after="0"/>
              <w:rPr>
                <w:sz w:val="1"/>
                <w:szCs w:val="1"/>
                <w:color w:val="auto"/>
              </w:rPr>
            </w:pPr>
          </w:p>
        </w:tc>
      </w:tr>
      <w:tr>
        <w:trPr>
          <w:trHeight w:val="235"/>
        </w:trPr>
        <w:tc>
          <w:tcPr>
            <w:tcW w:w="6660" w:type="dxa"/>
            <w:vAlign w:val="bottom"/>
          </w:tcPr>
          <w:p>
            <w:pPr>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5,407</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4,540</w:t>
            </w:r>
          </w:p>
        </w:tc>
        <w:tc>
          <w:tcPr>
            <w:tcW w:w="0" w:type="dxa"/>
            <w:vAlign w:val="bottom"/>
          </w:tcPr>
          <w:p>
            <w:pPr>
              <w:spacing w:after="0"/>
              <w:rPr>
                <w:sz w:val="1"/>
                <w:szCs w:val="1"/>
                <w:color w:val="auto"/>
              </w:rPr>
            </w:pPr>
          </w:p>
        </w:tc>
      </w:tr>
      <w:tr>
        <w:trPr>
          <w:trHeight w:val="223"/>
        </w:trPr>
        <w:tc>
          <w:tcPr>
            <w:tcW w:w="666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323,060</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322,602</w:t>
            </w:r>
          </w:p>
        </w:tc>
        <w:tc>
          <w:tcPr>
            <w:tcW w:w="0" w:type="dxa"/>
            <w:vAlign w:val="bottom"/>
          </w:tcPr>
          <w:p>
            <w:pPr>
              <w:spacing w:after="0"/>
              <w:rPr>
                <w:sz w:val="1"/>
                <w:szCs w:val="1"/>
                <w:color w:val="auto"/>
              </w:rPr>
            </w:pPr>
          </w:p>
        </w:tc>
      </w:tr>
      <w:tr>
        <w:trPr>
          <w:trHeight w:val="21"/>
        </w:trPr>
        <w:tc>
          <w:tcPr>
            <w:tcW w:w="66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6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270"/>
              <w:spacing w:after="0"/>
              <w:rPr>
                <w:sz w:val="20"/>
                <w:szCs w:val="20"/>
                <w:color w:val="auto"/>
              </w:rPr>
            </w:pPr>
            <w:r>
              <w:rPr>
                <w:rFonts w:ascii="Arial" w:cs="Arial" w:eastAsia="Arial" w:hAnsi="Arial"/>
                <w:sz w:val="18"/>
                <w:szCs w:val="18"/>
                <w:color w:val="auto"/>
              </w:rPr>
              <w:t>2,290</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250"/>
              <w:spacing w:after="0"/>
              <w:rPr>
                <w:sz w:val="20"/>
                <w:szCs w:val="20"/>
                <w:color w:val="auto"/>
              </w:rPr>
            </w:pPr>
            <w:r>
              <w:rPr>
                <w:rFonts w:ascii="Arial" w:cs="Arial" w:eastAsia="Arial" w:hAnsi="Arial"/>
                <w:sz w:val="18"/>
                <w:szCs w:val="18"/>
                <w:color w:val="auto"/>
              </w:rPr>
              <w:t>11,565</w:t>
            </w:r>
          </w:p>
        </w:tc>
        <w:tc>
          <w:tcPr>
            <w:tcW w:w="0" w:type="dxa"/>
            <w:vAlign w:val="bottom"/>
          </w:tcPr>
          <w:p>
            <w:pPr>
              <w:spacing w:after="0"/>
              <w:rPr>
                <w:sz w:val="1"/>
                <w:szCs w:val="1"/>
                <w:color w:val="auto"/>
              </w:rPr>
            </w:pPr>
          </w:p>
        </w:tc>
      </w:tr>
      <w:tr>
        <w:trPr>
          <w:trHeight w:val="230"/>
        </w:trPr>
        <w:tc>
          <w:tcPr>
            <w:tcW w:w="6660" w:type="dxa"/>
            <w:vAlign w:val="bottom"/>
          </w:tcPr>
          <w:p>
            <w:pPr>
              <w:ind w:left="16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Pr>
          <w:p>
            <w:pPr>
              <w:spacing w:after="0"/>
              <w:rPr>
                <w:sz w:val="19"/>
                <w:szCs w:val="19"/>
                <w:color w:val="auto"/>
              </w:rPr>
            </w:pPr>
          </w:p>
        </w:tc>
        <w:tc>
          <w:tcPr>
            <w:tcW w:w="2020" w:type="dxa"/>
            <w:vAlign w:val="bottom"/>
          </w:tcPr>
          <w:p>
            <w:pPr>
              <w:jc w:val="right"/>
              <w:ind w:right="270"/>
              <w:spacing w:after="0"/>
              <w:rPr>
                <w:sz w:val="20"/>
                <w:szCs w:val="20"/>
                <w:color w:val="auto"/>
              </w:rPr>
            </w:pPr>
            <w:r>
              <w:rPr>
                <w:rFonts w:ascii="Arial" w:cs="Arial" w:eastAsia="Arial" w:hAnsi="Arial"/>
                <w:sz w:val="18"/>
                <w:szCs w:val="18"/>
                <w:color w:val="auto"/>
              </w:rPr>
              <w:t>15,102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60" w:type="dxa"/>
            <w:vAlign w:val="bottom"/>
          </w:tcPr>
          <w:p>
            <w:pPr>
              <w:ind w:left="160"/>
              <w:spacing w:after="0"/>
              <w:rPr>
                <w:sz w:val="20"/>
                <w:szCs w:val="20"/>
                <w:color w:val="auto"/>
              </w:rPr>
            </w:pPr>
            <w:r>
              <w:rPr>
                <w:rFonts w:ascii="Arial" w:cs="Arial" w:eastAsia="Arial" w:hAnsi="Arial"/>
                <w:sz w:val="18"/>
                <w:szCs w:val="18"/>
                <w:color w:val="auto"/>
              </w:rPr>
              <w:t>Current operating lease liabilities</w:t>
            </w:r>
          </w:p>
        </w:tc>
        <w:tc>
          <w:tcPr>
            <w:tcW w:w="200" w:type="dxa"/>
            <w:vAlign w:val="bottom"/>
          </w:tcPr>
          <w:p>
            <w:pPr>
              <w:spacing w:after="0"/>
              <w:rPr>
                <w:sz w:val="19"/>
                <w:szCs w:val="19"/>
                <w:color w:val="auto"/>
              </w:rPr>
            </w:pPr>
          </w:p>
        </w:tc>
        <w:tc>
          <w:tcPr>
            <w:tcW w:w="2020" w:type="dxa"/>
            <w:vAlign w:val="bottom"/>
          </w:tcPr>
          <w:p>
            <w:pPr>
              <w:jc w:val="right"/>
              <w:ind w:right="270"/>
              <w:spacing w:after="0"/>
              <w:rPr>
                <w:sz w:val="20"/>
                <w:szCs w:val="20"/>
                <w:color w:val="auto"/>
              </w:rPr>
            </w:pPr>
            <w:r>
              <w:rPr>
                <w:rFonts w:ascii="Arial" w:cs="Arial" w:eastAsia="Arial" w:hAnsi="Arial"/>
                <w:sz w:val="18"/>
                <w:szCs w:val="18"/>
                <w:color w:val="auto"/>
              </w:rPr>
              <w:t>6,080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ind w:right="250"/>
              <w:spacing w:after="0"/>
              <w:rPr>
                <w:sz w:val="20"/>
                <w:szCs w:val="20"/>
                <w:color w:val="auto"/>
              </w:rPr>
            </w:pPr>
            <w:r>
              <w:rPr>
                <w:rFonts w:ascii="Arial" w:cs="Arial" w:eastAsia="Arial" w:hAnsi="Arial"/>
                <w:sz w:val="18"/>
                <w:szCs w:val="18"/>
                <w:color w:val="auto"/>
              </w:rPr>
              <w:t>3,495</w:t>
            </w:r>
          </w:p>
        </w:tc>
        <w:tc>
          <w:tcPr>
            <w:tcW w:w="0" w:type="dxa"/>
            <w:vAlign w:val="bottom"/>
          </w:tcPr>
          <w:p>
            <w:pPr>
              <w:spacing w:after="0"/>
              <w:rPr>
                <w:sz w:val="1"/>
                <w:szCs w:val="1"/>
                <w:color w:val="auto"/>
              </w:rPr>
            </w:pPr>
          </w:p>
        </w:tc>
      </w:tr>
      <w:tr>
        <w:trPr>
          <w:trHeight w:val="229"/>
        </w:trPr>
        <w:tc>
          <w:tcPr>
            <w:tcW w:w="6660" w:type="dxa"/>
            <w:vAlign w:val="bottom"/>
          </w:tcPr>
          <w:p>
            <w:pPr>
              <w:ind w:left="160"/>
              <w:spacing w:after="0"/>
              <w:rPr>
                <w:sz w:val="20"/>
                <w:szCs w:val="20"/>
                <w:color w:val="auto"/>
              </w:rPr>
            </w:pPr>
            <w:r>
              <w:rPr>
                <w:rFonts w:ascii="Arial" w:cs="Arial" w:eastAsia="Arial" w:hAnsi="Arial"/>
                <w:sz w:val="18"/>
                <w:szCs w:val="18"/>
                <w:color w:val="auto"/>
              </w:rPr>
              <w:t>Other accrued liabilities</w:t>
            </w:r>
          </w:p>
        </w:tc>
        <w:tc>
          <w:tcPr>
            <w:tcW w:w="200" w:type="dxa"/>
            <w:vAlign w:val="bottom"/>
          </w:tcPr>
          <w:p>
            <w:pPr>
              <w:spacing w:after="0"/>
              <w:rPr>
                <w:sz w:val="19"/>
                <w:szCs w:val="19"/>
                <w:color w:val="auto"/>
              </w:rPr>
            </w:pPr>
          </w:p>
        </w:tc>
        <w:tc>
          <w:tcPr>
            <w:tcW w:w="2020" w:type="dxa"/>
            <w:vAlign w:val="bottom"/>
          </w:tcPr>
          <w:p>
            <w:pPr>
              <w:jc w:val="right"/>
              <w:ind w:right="270"/>
              <w:spacing w:after="0"/>
              <w:rPr>
                <w:sz w:val="20"/>
                <w:szCs w:val="20"/>
                <w:color w:val="auto"/>
              </w:rPr>
            </w:pPr>
            <w:r>
              <w:rPr>
                <w:rFonts w:ascii="Arial" w:cs="Arial" w:eastAsia="Arial" w:hAnsi="Arial"/>
                <w:sz w:val="18"/>
                <w:szCs w:val="18"/>
                <w:color w:val="auto"/>
              </w:rPr>
              <w:t>27,716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ind w:right="250"/>
              <w:spacing w:after="0"/>
              <w:rPr>
                <w:sz w:val="20"/>
                <w:szCs w:val="20"/>
                <w:color w:val="auto"/>
              </w:rPr>
            </w:pPr>
            <w:r>
              <w:rPr>
                <w:rFonts w:ascii="Arial" w:cs="Arial" w:eastAsia="Arial" w:hAnsi="Arial"/>
                <w:sz w:val="18"/>
                <w:szCs w:val="18"/>
                <w:color w:val="auto"/>
              </w:rPr>
              <w:t>23,510</w:t>
            </w:r>
          </w:p>
        </w:tc>
        <w:tc>
          <w:tcPr>
            <w:tcW w:w="0" w:type="dxa"/>
            <w:vAlign w:val="bottom"/>
          </w:tcPr>
          <w:p>
            <w:pPr>
              <w:spacing w:after="0"/>
              <w:rPr>
                <w:sz w:val="1"/>
                <w:szCs w:val="1"/>
                <w:color w:val="auto"/>
              </w:rPr>
            </w:pPr>
          </w:p>
        </w:tc>
      </w:tr>
      <w:tr>
        <w:trPr>
          <w:trHeight w:val="230"/>
        </w:trPr>
        <w:tc>
          <w:tcPr>
            <w:tcW w:w="6660" w:type="dxa"/>
            <w:vAlign w:val="bottom"/>
          </w:tcPr>
          <w:p>
            <w:pPr>
              <w:ind w:left="160"/>
              <w:spacing w:after="0"/>
              <w:rPr>
                <w:sz w:val="20"/>
                <w:szCs w:val="20"/>
                <w:color w:val="auto"/>
              </w:rPr>
            </w:pPr>
            <w:r>
              <w:rPr>
                <w:rFonts w:ascii="Arial" w:cs="Arial" w:eastAsia="Arial" w:hAnsi="Arial"/>
                <w:sz w:val="18"/>
                <w:szCs w:val="18"/>
                <w:color w:val="auto"/>
              </w:rPr>
              <w:t>Accrued trade discounts and rebates</w:t>
            </w:r>
          </w:p>
        </w:tc>
        <w:tc>
          <w:tcPr>
            <w:tcW w:w="200" w:type="dxa"/>
            <w:vAlign w:val="bottom"/>
          </w:tcPr>
          <w:p>
            <w:pPr>
              <w:spacing w:after="0"/>
              <w:rPr>
                <w:sz w:val="19"/>
                <w:szCs w:val="19"/>
                <w:color w:val="auto"/>
              </w:rPr>
            </w:pPr>
          </w:p>
        </w:tc>
        <w:tc>
          <w:tcPr>
            <w:tcW w:w="2020" w:type="dxa"/>
            <w:vAlign w:val="bottom"/>
          </w:tcPr>
          <w:p>
            <w:pPr>
              <w:jc w:val="right"/>
              <w:ind w:right="270"/>
              <w:spacing w:after="0"/>
              <w:rPr>
                <w:sz w:val="20"/>
                <w:szCs w:val="20"/>
                <w:color w:val="auto"/>
              </w:rPr>
            </w:pPr>
            <w:r>
              <w:rPr>
                <w:rFonts w:ascii="Arial" w:cs="Arial" w:eastAsia="Arial" w:hAnsi="Arial"/>
                <w:sz w:val="18"/>
                <w:szCs w:val="18"/>
                <w:color w:val="auto"/>
              </w:rPr>
              <w:t>29,084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ind w:right="250"/>
              <w:spacing w:after="0"/>
              <w:rPr>
                <w:sz w:val="20"/>
                <w:szCs w:val="20"/>
                <w:color w:val="auto"/>
              </w:rPr>
            </w:pPr>
            <w:r>
              <w:rPr>
                <w:rFonts w:ascii="Arial" w:cs="Arial" w:eastAsia="Arial" w:hAnsi="Arial"/>
                <w:sz w:val="18"/>
                <w:szCs w:val="18"/>
                <w:color w:val="auto"/>
              </w:rPr>
              <w:t>22,149</w:t>
            </w:r>
          </w:p>
        </w:tc>
        <w:tc>
          <w:tcPr>
            <w:tcW w:w="0" w:type="dxa"/>
            <w:vAlign w:val="bottom"/>
          </w:tcPr>
          <w:p>
            <w:pPr>
              <w:spacing w:after="0"/>
              <w:rPr>
                <w:sz w:val="1"/>
                <w:szCs w:val="1"/>
                <w:color w:val="auto"/>
              </w:rPr>
            </w:pPr>
          </w:p>
        </w:tc>
      </w:tr>
      <w:tr>
        <w:trPr>
          <w:trHeight w:val="230"/>
        </w:trPr>
        <w:tc>
          <w:tcPr>
            <w:tcW w:w="6660" w:type="dxa"/>
            <w:vAlign w:val="bottom"/>
          </w:tcPr>
          <w:p>
            <w:pPr>
              <w:ind w:left="160"/>
              <w:spacing w:after="0"/>
              <w:rPr>
                <w:sz w:val="20"/>
                <w:szCs w:val="20"/>
                <w:color w:val="auto"/>
              </w:rPr>
            </w:pPr>
            <w:r>
              <w:rPr>
                <w:rFonts w:ascii="Arial" w:cs="Arial" w:eastAsia="Arial" w:hAnsi="Arial"/>
                <w:sz w:val="18"/>
                <w:szCs w:val="18"/>
                <w:color w:val="auto"/>
              </w:rPr>
              <w:t>Accrued returns reserve</w:t>
            </w:r>
          </w:p>
        </w:tc>
        <w:tc>
          <w:tcPr>
            <w:tcW w:w="200" w:type="dxa"/>
            <w:vAlign w:val="bottom"/>
          </w:tcPr>
          <w:p>
            <w:pPr>
              <w:spacing w:after="0"/>
              <w:rPr>
                <w:sz w:val="19"/>
                <w:szCs w:val="19"/>
                <w:color w:val="auto"/>
              </w:rPr>
            </w:pPr>
          </w:p>
        </w:tc>
        <w:tc>
          <w:tcPr>
            <w:tcW w:w="2020" w:type="dxa"/>
            <w:vAlign w:val="bottom"/>
          </w:tcPr>
          <w:p>
            <w:pPr>
              <w:jc w:val="right"/>
              <w:ind w:right="270"/>
              <w:spacing w:after="0"/>
              <w:rPr>
                <w:sz w:val="20"/>
                <w:szCs w:val="20"/>
                <w:color w:val="auto"/>
              </w:rPr>
            </w:pPr>
            <w:r>
              <w:rPr>
                <w:rFonts w:ascii="Arial" w:cs="Arial" w:eastAsia="Arial" w:hAnsi="Arial"/>
                <w:sz w:val="18"/>
                <w:szCs w:val="18"/>
                <w:color w:val="auto"/>
              </w:rPr>
              <w:t>19,082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ind w:right="250"/>
              <w:spacing w:after="0"/>
              <w:rPr>
                <w:sz w:val="20"/>
                <w:szCs w:val="20"/>
                <w:color w:val="auto"/>
              </w:rPr>
            </w:pPr>
            <w:r>
              <w:rPr>
                <w:rFonts w:ascii="Arial" w:cs="Arial" w:eastAsia="Arial" w:hAnsi="Arial"/>
                <w:sz w:val="18"/>
                <w:szCs w:val="18"/>
                <w:color w:val="auto"/>
              </w:rPr>
              <w:t>14,198</w:t>
            </w:r>
          </w:p>
        </w:tc>
        <w:tc>
          <w:tcPr>
            <w:tcW w:w="0" w:type="dxa"/>
            <w:vAlign w:val="bottom"/>
          </w:tcPr>
          <w:p>
            <w:pPr>
              <w:spacing w:after="0"/>
              <w:rPr>
                <w:sz w:val="1"/>
                <w:szCs w:val="1"/>
                <w:color w:val="auto"/>
              </w:rPr>
            </w:pPr>
          </w:p>
        </w:tc>
      </w:tr>
      <w:tr>
        <w:trPr>
          <w:trHeight w:val="230"/>
        </w:trPr>
        <w:tc>
          <w:tcPr>
            <w:tcW w:w="6660" w:type="dxa"/>
            <w:vAlign w:val="bottom"/>
          </w:tcPr>
          <w:p>
            <w:pPr>
              <w:ind w:left="160"/>
              <w:spacing w:after="0"/>
              <w:rPr>
                <w:sz w:val="20"/>
                <w:szCs w:val="20"/>
                <w:color w:val="auto"/>
              </w:rPr>
            </w:pPr>
            <w:r>
              <w:rPr>
                <w:rFonts w:ascii="Arial" w:cs="Arial" w:eastAsia="Arial" w:hAnsi="Arial"/>
                <w:sz w:val="18"/>
                <w:szCs w:val="18"/>
                <w:color w:val="auto"/>
              </w:rPr>
              <w:t>Current portion of contingent value rights</w:t>
            </w:r>
          </w:p>
        </w:tc>
        <w:tc>
          <w:tcPr>
            <w:tcW w:w="200" w:type="dxa"/>
            <w:vAlign w:val="bottom"/>
          </w:tcPr>
          <w:p>
            <w:pPr>
              <w:spacing w:after="0"/>
              <w:rPr>
                <w:sz w:val="19"/>
                <w:szCs w:val="19"/>
                <w:color w:val="auto"/>
              </w:rPr>
            </w:pPr>
          </w:p>
        </w:tc>
        <w:tc>
          <w:tcPr>
            <w:tcW w:w="21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0" w:type="dxa"/>
            <w:vAlign w:val="bottom"/>
          </w:tcPr>
          <w:p>
            <w:pPr>
              <w:jc w:val="right"/>
              <w:ind w:right="250"/>
              <w:spacing w:after="0"/>
              <w:rPr>
                <w:sz w:val="20"/>
                <w:szCs w:val="20"/>
                <w:color w:val="auto"/>
              </w:rPr>
            </w:pPr>
            <w:r>
              <w:rPr>
                <w:rFonts w:ascii="Arial" w:cs="Arial" w:eastAsia="Arial" w:hAnsi="Arial"/>
                <w:sz w:val="18"/>
                <w:szCs w:val="18"/>
                <w:color w:val="auto"/>
              </w:rPr>
              <w:t>19,109</w:t>
            </w:r>
          </w:p>
        </w:tc>
        <w:tc>
          <w:tcPr>
            <w:tcW w:w="0" w:type="dxa"/>
            <w:vAlign w:val="bottom"/>
          </w:tcPr>
          <w:p>
            <w:pPr>
              <w:spacing w:after="0"/>
              <w:rPr>
                <w:sz w:val="1"/>
                <w:szCs w:val="1"/>
                <w:color w:val="auto"/>
              </w:rPr>
            </w:pPr>
          </w:p>
        </w:tc>
      </w:tr>
      <w:tr>
        <w:trPr>
          <w:trHeight w:val="235"/>
        </w:trPr>
        <w:tc>
          <w:tcPr>
            <w:tcW w:w="6660" w:type="dxa"/>
            <w:vAlign w:val="bottom"/>
          </w:tcPr>
          <w:p>
            <w:pPr>
              <w:ind w:left="16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1,089</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18"/>
        </w:trPr>
        <w:tc>
          <w:tcPr>
            <w:tcW w:w="666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8"/>
                <w:szCs w:val="18"/>
                <w:color w:val="auto"/>
              </w:rPr>
            </w:pPr>
          </w:p>
        </w:tc>
        <w:tc>
          <w:tcPr>
            <w:tcW w:w="2020" w:type="dxa"/>
            <w:vAlign w:val="bottom"/>
          </w:tcPr>
          <w:p>
            <w:pPr>
              <w:jc w:val="right"/>
              <w:ind w:right="270"/>
              <w:spacing w:after="0"/>
              <w:rPr>
                <w:sz w:val="20"/>
                <w:szCs w:val="20"/>
                <w:color w:val="auto"/>
              </w:rPr>
            </w:pPr>
            <w:r>
              <w:rPr>
                <w:rFonts w:ascii="Arial" w:cs="Arial" w:eastAsia="Arial" w:hAnsi="Arial"/>
                <w:sz w:val="18"/>
                <w:szCs w:val="18"/>
                <w:color w:val="auto"/>
              </w:rPr>
              <w:t>100,443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tcPr>
          <w:p>
            <w:pPr>
              <w:jc w:val="right"/>
              <w:ind w:right="250"/>
              <w:spacing w:after="0"/>
              <w:rPr>
                <w:sz w:val="20"/>
                <w:szCs w:val="20"/>
                <w:color w:val="auto"/>
              </w:rPr>
            </w:pPr>
            <w:r>
              <w:rPr>
                <w:rFonts w:ascii="Arial" w:cs="Arial" w:eastAsia="Arial" w:hAnsi="Arial"/>
                <w:sz w:val="18"/>
                <w:szCs w:val="18"/>
                <w:color w:val="auto"/>
              </w:rPr>
              <w:t>95,193</w:t>
            </w:r>
          </w:p>
        </w:tc>
        <w:tc>
          <w:tcPr>
            <w:tcW w:w="0" w:type="dxa"/>
            <w:vAlign w:val="bottom"/>
          </w:tcPr>
          <w:p>
            <w:pPr>
              <w:spacing w:after="0"/>
              <w:rPr>
                <w:sz w:val="1"/>
                <w:szCs w:val="1"/>
                <w:color w:val="auto"/>
              </w:rPr>
            </w:pPr>
          </w:p>
        </w:tc>
      </w:tr>
      <w:tr>
        <w:trPr>
          <w:trHeight w:val="229"/>
        </w:trPr>
        <w:tc>
          <w:tcPr>
            <w:tcW w:w="6660" w:type="dxa"/>
            <w:vAlign w:val="bottom"/>
          </w:tcPr>
          <w:p>
            <w:pPr>
              <w:spacing w:after="0"/>
              <w:rPr>
                <w:sz w:val="20"/>
                <w:szCs w:val="20"/>
                <w:color w:val="auto"/>
              </w:rPr>
            </w:pPr>
            <w:r>
              <w:rPr>
                <w:rFonts w:ascii="Arial" w:cs="Arial" w:eastAsia="Arial" w:hAnsi="Arial"/>
                <w:sz w:val="18"/>
                <w:szCs w:val="18"/>
                <w:color w:val="auto"/>
              </w:rPr>
              <w:t>Long-term debt, net of unamortized debt issuance costs</w:t>
            </w:r>
          </w:p>
        </w:tc>
        <w:tc>
          <w:tcPr>
            <w:tcW w:w="200" w:type="dxa"/>
            <w:vAlign w:val="bottom"/>
          </w:tcPr>
          <w:p>
            <w:pPr>
              <w:spacing w:after="0"/>
              <w:rPr>
                <w:sz w:val="19"/>
                <w:szCs w:val="19"/>
                <w:color w:val="auto"/>
              </w:rPr>
            </w:pPr>
          </w:p>
        </w:tc>
        <w:tc>
          <w:tcPr>
            <w:tcW w:w="2020" w:type="dxa"/>
            <w:vAlign w:val="bottom"/>
          </w:tcPr>
          <w:p>
            <w:pPr>
              <w:jc w:val="right"/>
              <w:ind w:right="270"/>
              <w:spacing w:after="0"/>
              <w:rPr>
                <w:sz w:val="20"/>
                <w:szCs w:val="20"/>
                <w:color w:val="auto"/>
              </w:rPr>
            </w:pPr>
            <w:r>
              <w:rPr>
                <w:rFonts w:ascii="Arial" w:cs="Arial" w:eastAsia="Arial" w:hAnsi="Arial"/>
                <w:sz w:val="18"/>
                <w:szCs w:val="18"/>
                <w:color w:val="auto"/>
              </w:rPr>
              <w:t>217,006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ind w:right="250"/>
              <w:spacing w:after="0"/>
              <w:rPr>
                <w:sz w:val="20"/>
                <w:szCs w:val="20"/>
                <w:color w:val="auto"/>
              </w:rPr>
            </w:pPr>
            <w:r>
              <w:rPr>
                <w:rFonts w:ascii="Arial" w:cs="Arial" w:eastAsia="Arial" w:hAnsi="Arial"/>
                <w:sz w:val="18"/>
                <w:szCs w:val="18"/>
                <w:color w:val="auto"/>
              </w:rPr>
              <w:t>190,932</w:t>
            </w:r>
          </w:p>
        </w:tc>
        <w:tc>
          <w:tcPr>
            <w:tcW w:w="0" w:type="dxa"/>
            <w:vAlign w:val="bottom"/>
          </w:tcPr>
          <w:p>
            <w:pPr>
              <w:spacing w:after="0"/>
              <w:rPr>
                <w:sz w:val="1"/>
                <w:szCs w:val="1"/>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Non-current contingent value rights</w:t>
            </w:r>
          </w:p>
        </w:tc>
        <w:tc>
          <w:tcPr>
            <w:tcW w:w="200" w:type="dxa"/>
            <w:vAlign w:val="bottom"/>
          </w:tcPr>
          <w:p>
            <w:pPr>
              <w:spacing w:after="0"/>
              <w:rPr>
                <w:sz w:val="19"/>
                <w:szCs w:val="19"/>
                <w:color w:val="auto"/>
              </w:rPr>
            </w:pPr>
          </w:p>
        </w:tc>
        <w:tc>
          <w:tcPr>
            <w:tcW w:w="21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0" w:type="dxa"/>
            <w:vAlign w:val="bottom"/>
          </w:tcPr>
          <w:p>
            <w:pPr>
              <w:jc w:val="right"/>
              <w:ind w:right="250"/>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Non-current operating lease liabilities</w:t>
            </w:r>
          </w:p>
        </w:tc>
        <w:tc>
          <w:tcPr>
            <w:tcW w:w="200" w:type="dxa"/>
            <w:vAlign w:val="bottom"/>
          </w:tcPr>
          <w:p>
            <w:pPr>
              <w:spacing w:after="0"/>
              <w:rPr>
                <w:sz w:val="19"/>
                <w:szCs w:val="19"/>
                <w:color w:val="auto"/>
              </w:rPr>
            </w:pPr>
          </w:p>
        </w:tc>
        <w:tc>
          <w:tcPr>
            <w:tcW w:w="2020" w:type="dxa"/>
            <w:vAlign w:val="bottom"/>
          </w:tcPr>
          <w:p>
            <w:pPr>
              <w:jc w:val="right"/>
              <w:ind w:right="270"/>
              <w:spacing w:after="0"/>
              <w:rPr>
                <w:sz w:val="20"/>
                <w:szCs w:val="20"/>
                <w:color w:val="auto"/>
              </w:rPr>
            </w:pPr>
            <w:r>
              <w:rPr>
                <w:rFonts w:ascii="Arial" w:cs="Arial" w:eastAsia="Arial" w:hAnsi="Arial"/>
                <w:sz w:val="18"/>
                <w:szCs w:val="18"/>
                <w:color w:val="auto"/>
              </w:rPr>
              <w:t>33,259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ind w:right="250"/>
              <w:spacing w:after="0"/>
              <w:rPr>
                <w:sz w:val="20"/>
                <w:szCs w:val="20"/>
                <w:color w:val="auto"/>
              </w:rPr>
            </w:pPr>
            <w:r>
              <w:rPr>
                <w:rFonts w:ascii="Arial" w:cs="Arial" w:eastAsia="Arial" w:hAnsi="Arial"/>
                <w:sz w:val="18"/>
                <w:szCs w:val="18"/>
                <w:color w:val="auto"/>
              </w:rPr>
              <w:t>34,764</w:t>
            </w:r>
          </w:p>
        </w:tc>
        <w:tc>
          <w:tcPr>
            <w:tcW w:w="0" w:type="dxa"/>
            <w:vAlign w:val="bottom"/>
          </w:tcPr>
          <w:p>
            <w:pPr>
              <w:spacing w:after="0"/>
              <w:rPr>
                <w:sz w:val="1"/>
                <w:szCs w:val="1"/>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00" w:type="dxa"/>
            <w:vAlign w:val="bottom"/>
          </w:tcPr>
          <w:p>
            <w:pPr>
              <w:spacing w:after="0"/>
              <w:rPr>
                <w:sz w:val="19"/>
                <w:szCs w:val="19"/>
                <w:color w:val="auto"/>
              </w:rPr>
            </w:pPr>
          </w:p>
        </w:tc>
        <w:tc>
          <w:tcPr>
            <w:tcW w:w="21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0" w:type="dxa"/>
            <w:vAlign w:val="bottom"/>
          </w:tcPr>
          <w:p>
            <w:pPr>
              <w:jc w:val="right"/>
              <w:ind w:right="250"/>
              <w:spacing w:after="0"/>
              <w:rPr>
                <w:sz w:val="20"/>
                <w:szCs w:val="20"/>
                <w:color w:val="auto"/>
              </w:rPr>
            </w:pPr>
            <w:r>
              <w:rPr>
                <w:rFonts w:ascii="Arial" w:cs="Arial" w:eastAsia="Arial" w:hAnsi="Arial"/>
                <w:sz w:val="18"/>
                <w:szCs w:val="18"/>
                <w:color w:val="auto"/>
              </w:rPr>
              <w:t>2,268</w:t>
            </w:r>
          </w:p>
        </w:tc>
        <w:tc>
          <w:tcPr>
            <w:tcW w:w="0" w:type="dxa"/>
            <w:vAlign w:val="bottom"/>
          </w:tcPr>
          <w:p>
            <w:pPr>
              <w:spacing w:after="0"/>
              <w:rPr>
                <w:sz w:val="1"/>
                <w:szCs w:val="1"/>
                <w:color w:val="auto"/>
              </w:rPr>
            </w:pPr>
          </w:p>
        </w:tc>
      </w:tr>
      <w:tr>
        <w:trPr>
          <w:trHeight w:val="235"/>
        </w:trPr>
        <w:tc>
          <w:tcPr>
            <w:tcW w:w="6660" w:type="dxa"/>
            <w:vAlign w:val="bottom"/>
          </w:tcPr>
          <w:p>
            <w:pPr>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1,967</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4,848</w:t>
            </w:r>
          </w:p>
        </w:tc>
        <w:tc>
          <w:tcPr>
            <w:tcW w:w="0" w:type="dxa"/>
            <w:vAlign w:val="bottom"/>
          </w:tcPr>
          <w:p>
            <w:pPr>
              <w:spacing w:after="0"/>
              <w:rPr>
                <w:sz w:val="1"/>
                <w:szCs w:val="1"/>
                <w:color w:val="auto"/>
              </w:rPr>
            </w:pPr>
          </w:p>
        </w:tc>
      </w:tr>
      <w:tr>
        <w:trPr>
          <w:trHeight w:val="223"/>
        </w:trPr>
        <w:tc>
          <w:tcPr>
            <w:tcW w:w="6660" w:type="dxa"/>
            <w:vAlign w:val="bottom"/>
          </w:tcPr>
          <w:p>
            <w:pPr>
              <w:ind w:left="4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352,675</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329,384</w:t>
            </w:r>
          </w:p>
        </w:tc>
        <w:tc>
          <w:tcPr>
            <w:tcW w:w="0" w:type="dxa"/>
            <w:vAlign w:val="bottom"/>
          </w:tcPr>
          <w:p>
            <w:pPr>
              <w:spacing w:after="0"/>
              <w:rPr>
                <w:sz w:val="1"/>
                <w:szCs w:val="1"/>
                <w:color w:val="auto"/>
              </w:rPr>
            </w:pPr>
          </w:p>
        </w:tc>
      </w:tr>
      <w:tr>
        <w:trPr>
          <w:trHeight w:val="223"/>
        </w:trPr>
        <w:tc>
          <w:tcPr>
            <w:tcW w:w="6660" w:type="dxa"/>
            <w:vAlign w:val="bottom"/>
          </w:tcPr>
          <w:p>
            <w:pPr>
              <w:ind w:left="420"/>
              <w:spacing w:after="0"/>
              <w:rPr>
                <w:sz w:val="20"/>
                <w:szCs w:val="20"/>
                <w:color w:val="auto"/>
              </w:rPr>
            </w:pPr>
            <w:r>
              <w:rPr>
                <w:rFonts w:ascii="Arial" w:cs="Arial" w:eastAsia="Arial" w:hAnsi="Arial"/>
                <w:sz w:val="18"/>
                <w:szCs w:val="18"/>
                <w:color w:val="auto"/>
              </w:rPr>
              <w:t>Total stockholders’ equity (deficit)</w:t>
            </w:r>
          </w:p>
        </w:tc>
        <w:tc>
          <w:tcPr>
            <w:tcW w:w="2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(29,615)</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(6,782)</w:t>
            </w:r>
          </w:p>
        </w:tc>
        <w:tc>
          <w:tcPr>
            <w:tcW w:w="0" w:type="dxa"/>
            <w:vAlign w:val="bottom"/>
          </w:tcPr>
          <w:p>
            <w:pPr>
              <w:spacing w:after="0"/>
              <w:rPr>
                <w:sz w:val="1"/>
                <w:szCs w:val="1"/>
                <w:color w:val="auto"/>
              </w:rPr>
            </w:pPr>
          </w:p>
        </w:tc>
      </w:tr>
      <w:tr>
        <w:trPr>
          <w:trHeight w:val="223"/>
        </w:trPr>
        <w:tc>
          <w:tcPr>
            <w:tcW w:w="6660" w:type="dxa"/>
            <w:vAlign w:val="bottom"/>
          </w:tcPr>
          <w:p>
            <w:pPr>
              <w:ind w:left="540"/>
              <w:spacing w:after="0"/>
              <w:rPr>
                <w:sz w:val="20"/>
                <w:szCs w:val="20"/>
                <w:color w:val="auto"/>
              </w:rPr>
            </w:pPr>
            <w:r>
              <w:rPr>
                <w:rFonts w:ascii="Arial" w:cs="Arial" w:eastAsia="Arial" w:hAnsi="Arial"/>
                <w:sz w:val="18"/>
                <w:szCs w:val="18"/>
                <w:color w:val="auto"/>
              </w:rPr>
              <w:t>Total liabilities and stockholders’ equity (deficit)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323,060</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322,602</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sectPr>
      <w:pgSz w:w="11900" w:h="16838" w:orient="portrait"/>
      <w:cols w:equalWidth="0" w:num="1">
        <w:col w:w="11180"/>
      </w:cols>
      <w:pgMar w:left="380" w:top="112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bullet"/>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2025-03-06T06:25:23Z</dcterms:created>
  <dcterms:modified xsi:type="dcterms:W3CDTF">2025-03-06T06:25:23Z</dcterms:modified>
</cp:coreProperties>
</file>