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XERIS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98422L 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68580</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77470</wp:posOffset>
            </wp:positionV>
            <wp:extent cx="57975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19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right="18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98422L 107</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2060" w:type="dxa"/>
            <w:vAlign w:val="bottom"/>
            <w:gridSpan w:val="4"/>
          </w:tcPr>
          <w:p>
            <w:pPr>
              <w:ind w:left="20"/>
              <w:spacing w:after="0"/>
              <w:rPr>
                <w:sz w:val="20"/>
                <w:szCs w:val="20"/>
                <w:color w:val="auto"/>
              </w:rPr>
            </w:pPr>
            <w:r>
              <w:rPr>
                <w:rFonts w:ascii="Arial" w:cs="Arial" w:eastAsia="Arial" w:hAnsi="Arial"/>
                <w:sz w:val="18"/>
                <w:szCs w:val="18"/>
                <w:color w:val="auto"/>
              </w:rPr>
              <w:t>Redmile Group, LLC</w:t>
            </w: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900" w:type="dxa"/>
            <w:vAlign w:val="bottom"/>
            <w:tcBorders>
              <w:bottom w:val="single" w:sz="8" w:color="auto"/>
            </w:tcBorders>
            <w:gridSpan w:val="5"/>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740" w:type="dxa"/>
            <w:vAlign w:val="bottom"/>
            <w:shd w:val="clear" w:color="auto" w:fill="BFBFBF"/>
          </w:tcPr>
          <w:p>
            <w:pPr>
              <w:spacing w:after="0"/>
              <w:rPr>
                <w:sz w:val="20"/>
                <w:szCs w:val="20"/>
                <w:color w:val="auto"/>
              </w:rPr>
            </w:pPr>
          </w:p>
        </w:tc>
        <w:tc>
          <w:tcPr>
            <w:tcW w:w="78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740" w:type="dxa"/>
            <w:vAlign w:val="bottom"/>
            <w:shd w:val="clear" w:color="auto" w:fill="BFBFBF"/>
          </w:tcPr>
          <w:p>
            <w:pPr>
              <w:spacing w:after="0"/>
              <w:rPr>
                <w:sz w:val="24"/>
                <w:szCs w:val="24"/>
                <w:color w:val="auto"/>
              </w:rPr>
            </w:pPr>
          </w:p>
        </w:tc>
        <w:tc>
          <w:tcPr>
            <w:tcW w:w="78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740" w:type="dxa"/>
            <w:vAlign w:val="bottom"/>
            <w:tcBorders>
              <w:bottom w:val="single" w:sz="8" w:color="auto"/>
            </w:tcBorders>
            <w:shd w:val="clear" w:color="auto" w:fill="BFBFBF"/>
          </w:tcPr>
          <w:p>
            <w:pPr>
              <w:spacing w:after="0"/>
              <w:rPr>
                <w:sz w:val="23"/>
                <w:szCs w:val="23"/>
                <w:color w:val="auto"/>
              </w:rPr>
            </w:pPr>
          </w:p>
        </w:tc>
        <w:tc>
          <w:tcPr>
            <w:tcW w:w="78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9"/>
              </w:rPr>
              <w:t>Delaware</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58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0</w:t>
            </w: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858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87"/>
              </w:rPr>
              <w:t>2,412,642</w:t>
            </w:r>
          </w:p>
        </w:tc>
        <w:tc>
          <w:tcPr>
            <w:tcW w:w="7840" w:type="dxa"/>
            <w:vAlign w:val="bottom"/>
          </w:tcPr>
          <w:p>
            <w:pPr>
              <w:jc w:val="right"/>
              <w:ind w:right="7585"/>
              <w:spacing w:after="0"/>
              <w:rPr>
                <w:sz w:val="20"/>
                <w:szCs w:val="20"/>
                <w:color w:val="auto"/>
              </w:rPr>
            </w:pPr>
            <w:r>
              <w:rPr>
                <w:rFonts w:ascii="Arial" w:cs="Arial" w:eastAsia="Arial" w:hAnsi="Arial"/>
                <w:sz w:val="15"/>
                <w:szCs w:val="15"/>
                <w:color w:val="auto"/>
                <w:w w:val="87"/>
              </w:rPr>
              <w:t>(</w:t>
            </w:r>
            <w:r>
              <w:rPr>
                <w:rFonts w:ascii="Arial" w:cs="Arial" w:eastAsia="Arial" w:hAnsi="Arial"/>
                <w:sz w:val="15"/>
                <w:szCs w:val="15"/>
                <w:b w:val="1"/>
                <w:bCs w:val="1"/>
                <w:color w:val="auto"/>
                <w:w w:val="87"/>
              </w:rPr>
              <w:t>1</w:t>
            </w:r>
            <w:r>
              <w:rPr>
                <w:rFonts w:ascii="Arial" w:cs="Arial" w:eastAsia="Arial" w:hAnsi="Arial"/>
                <w:sz w:val="15"/>
                <w:szCs w:val="15"/>
                <w:color w:val="auto"/>
                <w:w w:val="87"/>
              </w:rPr>
              <w:t>)</w:t>
            </w: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740" w:type="dxa"/>
            <w:vAlign w:val="bottom"/>
            <w:vMerge w:val="continue"/>
          </w:tcPr>
          <w:p>
            <w:pPr>
              <w:spacing w:after="0"/>
              <w:rPr>
                <w:sz w:val="18"/>
                <w:szCs w:val="18"/>
                <w:color w:val="auto"/>
              </w:rPr>
            </w:pPr>
          </w:p>
        </w:tc>
        <w:tc>
          <w:tcPr>
            <w:tcW w:w="7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8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78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78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78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vMerge w:val="continue"/>
          </w:tcPr>
          <w:p>
            <w:pPr>
              <w:spacing w:after="0"/>
              <w:rPr>
                <w:sz w:val="24"/>
                <w:szCs w:val="24"/>
                <w:color w:val="auto"/>
              </w:rPr>
            </w:pPr>
          </w:p>
        </w:tc>
        <w:tc>
          <w:tcPr>
            <w:tcW w:w="8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 xml:space="preserve">2,412,642 </w:t>
            </w:r>
            <w:r>
              <w:rPr>
                <w:rFonts w:ascii="Arial" w:cs="Arial" w:eastAsia="Arial" w:hAnsi="Arial"/>
                <w:sz w:val="30"/>
                <w:szCs w:val="30"/>
                <w:b w:val="1"/>
                <w:bCs w:val="1"/>
                <w:color w:val="auto"/>
                <w:vertAlign w:val="superscript"/>
              </w:rPr>
              <w:t>(1)</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 xml:space="preserve">2,412,642 </w:t>
            </w:r>
            <w:r>
              <w:rPr>
                <w:rFonts w:ascii="Arial" w:cs="Arial" w:eastAsia="Arial" w:hAnsi="Arial"/>
                <w:sz w:val="30"/>
                <w:szCs w:val="30"/>
                <w:color w:val="auto"/>
                <w:vertAlign w:val="superscript"/>
              </w:rPr>
              <w:t>(1)</w:t>
            </w:r>
          </w:p>
        </w:tc>
        <w:tc>
          <w:tcPr>
            <w:tcW w:w="7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858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12.2</w:t>
            </w:r>
            <w:r>
              <w:rPr>
                <w:rFonts w:ascii="Arial" w:cs="Arial" w:eastAsia="Arial" w:hAnsi="Arial"/>
                <w:sz w:val="18"/>
                <w:szCs w:val="18"/>
                <w:color w:val="auto"/>
              </w:rPr>
              <w:t>%</w:t>
            </w:r>
            <w:r>
              <w:rPr>
                <w:rFonts w:ascii="Arial" w:cs="Arial" w:eastAsia="Arial" w:hAnsi="Arial"/>
                <w:sz w:val="30"/>
                <w:szCs w:val="30"/>
                <w:color w:val="auto"/>
                <w:vertAlign w:val="superscript"/>
              </w:rPr>
              <w:t>(2)</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5"/>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IA, OO</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09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 w:firstLine="8"/>
        <w:spacing w:after="0" w:line="253" w:lineRule="auto"/>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Redmile Group, LLC’s beneficial ownership of the Issuer’s common stock (“Common Stock”) is comprised of 2,412,642 shares of Common Stock owned by certain private investment vehicles and separately managed accounts managed by Redmile Group, LLC, which shares of Common Stock may be deemed beneficially owned by Redmile Group, LLC as investment manager of such private investment vehicles and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3" w:lineRule="exact"/>
        <w:rPr>
          <w:rFonts w:ascii="Arial" w:cs="Arial" w:eastAsia="Arial" w:hAnsi="Arial"/>
          <w:sz w:val="26"/>
          <w:szCs w:val="26"/>
          <w:color w:val="auto"/>
          <w:vertAlign w:val="superscript"/>
        </w:rPr>
      </w:pPr>
    </w:p>
    <w:p>
      <w:pPr>
        <w:ind w:right="100" w:firstLine="8"/>
        <w:spacing w:after="0" w:line="233" w:lineRule="auto"/>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Percentage based on 19,735,651 shares of Common Stock outstanding after the Issuer’s initial public offering, as disclosed in the Issuer’s final prospectus filed with the Securities and Exchange Commission pursuant to Rule 424(b) under the Securities Act of 1933, as amended, on June 21, 2018 (the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CUSIP No. 98422L 107</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90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1"/>
              </w:rPr>
              <w:t>Jeremy C. Green</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1460" w:type="dxa"/>
            <w:vAlign w:val="bottom"/>
            <w:tcBorders>
              <w:bottom w:val="single" w:sz="8" w:color="auto"/>
            </w:tcBorders>
            <w:gridSpan w:val="4"/>
          </w:tcPr>
          <w:p>
            <w:pPr>
              <w:spacing w:after="0"/>
              <w:rPr>
                <w:sz w:val="14"/>
                <w:szCs w:val="14"/>
                <w:color w:val="auto"/>
              </w:rPr>
            </w:pPr>
          </w:p>
        </w:tc>
        <w:tc>
          <w:tcPr>
            <w:tcW w:w="84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140" w:type="dxa"/>
            <w:vAlign w:val="bottom"/>
            <w:shd w:val="clear" w:color="auto" w:fill="BFBFBF"/>
          </w:tcPr>
          <w:p>
            <w:pPr>
              <w:spacing w:after="0"/>
              <w:rPr>
                <w:sz w:val="20"/>
                <w:szCs w:val="20"/>
                <w:color w:val="auto"/>
              </w:rPr>
            </w:pPr>
          </w:p>
        </w:tc>
        <w:tc>
          <w:tcPr>
            <w:tcW w:w="640" w:type="dxa"/>
            <w:vAlign w:val="bottom"/>
            <w:shd w:val="clear" w:color="auto" w:fill="BFBFBF"/>
          </w:tcPr>
          <w:p>
            <w:pPr>
              <w:spacing w:after="0"/>
              <w:rPr>
                <w:sz w:val="20"/>
                <w:szCs w:val="20"/>
                <w:color w:val="auto"/>
              </w:rPr>
            </w:pPr>
          </w:p>
        </w:tc>
        <w:tc>
          <w:tcPr>
            <w:tcW w:w="78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640" w:type="dxa"/>
            <w:vAlign w:val="bottom"/>
            <w:shd w:val="clear" w:color="auto" w:fill="BFBFBF"/>
          </w:tcPr>
          <w:p>
            <w:pPr>
              <w:spacing w:after="0"/>
              <w:rPr>
                <w:sz w:val="24"/>
                <w:szCs w:val="24"/>
                <w:color w:val="auto"/>
              </w:rPr>
            </w:pPr>
          </w:p>
        </w:tc>
        <w:tc>
          <w:tcPr>
            <w:tcW w:w="78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640" w:type="dxa"/>
            <w:vAlign w:val="bottom"/>
            <w:tcBorders>
              <w:bottom w:val="single" w:sz="8" w:color="auto"/>
            </w:tcBorders>
            <w:shd w:val="clear" w:color="auto" w:fill="BFBFBF"/>
          </w:tcPr>
          <w:p>
            <w:pPr>
              <w:spacing w:after="0"/>
              <w:rPr>
                <w:sz w:val="23"/>
                <w:szCs w:val="23"/>
                <w:color w:val="auto"/>
              </w:rPr>
            </w:pPr>
          </w:p>
        </w:tc>
        <w:tc>
          <w:tcPr>
            <w:tcW w:w="78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8"/>
              </w:rPr>
              <w:t>United Kingdom</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80" w:type="dxa"/>
            <w:vAlign w:val="bottom"/>
            <w:gridSpan w:val="3"/>
          </w:tcPr>
          <w:p>
            <w:pPr>
              <w:ind w:left="20"/>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0</w:t>
            </w: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40" w:type="dxa"/>
            <w:vAlign w:val="bottom"/>
            <w:tcBorders>
              <w:bottom w:val="single" w:sz="8" w:color="auto"/>
            </w:tcBorders>
            <w:gridSpan w:val="2"/>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2,412,642</w:t>
            </w:r>
          </w:p>
        </w:tc>
        <w:tc>
          <w:tcPr>
            <w:tcW w:w="7800" w:type="dxa"/>
            <w:vAlign w:val="bottom"/>
          </w:tcPr>
          <w:p>
            <w:pPr>
              <w:jc w:val="right"/>
              <w:ind w:right="7545"/>
              <w:spacing w:after="0"/>
              <w:rPr>
                <w:sz w:val="20"/>
                <w:szCs w:val="20"/>
                <w:color w:val="auto"/>
              </w:rPr>
            </w:pPr>
            <w:r>
              <w:rPr>
                <w:rFonts w:ascii="Arial" w:cs="Arial" w:eastAsia="Arial" w:hAnsi="Arial"/>
                <w:sz w:val="15"/>
                <w:szCs w:val="15"/>
                <w:b w:val="1"/>
                <w:bCs w:val="1"/>
                <w:color w:val="auto"/>
                <w:w w:val="87"/>
              </w:rPr>
              <w:t>(3)</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tcPr>
          <w:p>
            <w:pPr>
              <w:jc w:val="center"/>
              <w:spacing w:after="0" w:line="131" w:lineRule="exact"/>
              <w:rPr>
                <w:sz w:val="20"/>
                <w:szCs w:val="20"/>
                <w:color w:val="auto"/>
              </w:rPr>
            </w:pPr>
            <w:r>
              <w:rPr>
                <w:rFonts w:ascii="Arial" w:cs="Arial" w:eastAsia="Arial" w:hAnsi="Arial"/>
                <w:sz w:val="15"/>
                <w:szCs w:val="15"/>
                <w:b w:val="1"/>
                <w:bCs w:val="1"/>
                <w:color w:val="auto"/>
              </w:rPr>
              <w:t>BENEFICIALLY</w:t>
            </w:r>
          </w:p>
        </w:tc>
        <w:tc>
          <w:tcPr>
            <w:tcW w:w="14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8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8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85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80" w:type="dxa"/>
            <w:vAlign w:val="bottom"/>
            <w:gridSpan w:val="3"/>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w w:val="99"/>
              </w:rPr>
              <w:t>0</w:t>
            </w:r>
          </w:p>
        </w:tc>
        <w:tc>
          <w:tcPr>
            <w:tcW w:w="640" w:type="dxa"/>
            <w:vAlign w:val="bottom"/>
          </w:tcPr>
          <w:p>
            <w:pPr>
              <w:spacing w:after="0"/>
              <w:rPr>
                <w:sz w:val="4"/>
                <w:szCs w:val="4"/>
                <w:color w:val="auto"/>
              </w:rPr>
            </w:pPr>
          </w:p>
        </w:tc>
        <w:tc>
          <w:tcPr>
            <w:tcW w:w="78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27"/>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right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80" w:type="dxa"/>
            <w:vAlign w:val="bottom"/>
            <w:gridSpan w:val="3"/>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vMerge w:val="continue"/>
          </w:tcPr>
          <w:p>
            <w:pPr>
              <w:spacing w:after="0"/>
              <w:rPr>
                <w:sz w:val="24"/>
                <w:szCs w:val="24"/>
                <w:color w:val="auto"/>
              </w:rPr>
            </w:pPr>
          </w:p>
        </w:tc>
        <w:tc>
          <w:tcPr>
            <w:tcW w:w="8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 xml:space="preserve">2,412,642 </w:t>
            </w:r>
            <w:r>
              <w:rPr>
                <w:rFonts w:ascii="Arial" w:cs="Arial" w:eastAsia="Arial" w:hAnsi="Arial"/>
                <w:sz w:val="30"/>
                <w:szCs w:val="30"/>
                <w:b w:val="1"/>
                <w:bCs w:val="1"/>
                <w:color w:val="auto"/>
                <w:vertAlign w:val="superscript"/>
              </w:rPr>
              <w:t>(3)</w:t>
            </w: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 xml:space="preserve">2,412,642 </w:t>
            </w:r>
            <w:r>
              <w:rPr>
                <w:rFonts w:ascii="Arial" w:cs="Arial" w:eastAsia="Arial" w:hAnsi="Arial"/>
                <w:sz w:val="30"/>
                <w:szCs w:val="30"/>
                <w:b w:val="1"/>
                <w:bCs w:val="1"/>
                <w:color w:val="auto"/>
                <w:vertAlign w:val="superscript"/>
              </w:rPr>
              <w:t>(3)</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4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12.2%</w:t>
            </w:r>
            <w:r>
              <w:rPr>
                <w:rFonts w:ascii="Arial" w:cs="Arial" w:eastAsia="Arial" w:hAnsi="Arial"/>
                <w:sz w:val="30"/>
                <w:szCs w:val="30"/>
                <w:b w:val="1"/>
                <w:bCs w:val="1"/>
                <w:color w:val="auto"/>
                <w:vertAlign w:val="superscript"/>
              </w:rPr>
              <w:t>(4)</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90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HC</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8"/>
        <w:spacing w:after="0" w:line="253" w:lineRule="auto"/>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Jeremy C. Green’s beneficial ownership of Common Stock is comprised of 2,412,642 shares of Common Stock owned by certain private investment vehicles and separately managed accounts managed by Redmile Group, LLC, which shares of Common Stock may be deemed beneficially owned by Redmile Group, LLC as investment manager of such private investment vehicles and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3" w:lineRule="exact"/>
        <w:rPr>
          <w:rFonts w:ascii="Arial" w:cs="Arial" w:eastAsia="Arial" w:hAnsi="Arial"/>
          <w:sz w:val="26"/>
          <w:szCs w:val="26"/>
          <w:color w:val="auto"/>
          <w:vertAlign w:val="superscript"/>
        </w:rPr>
      </w:pPr>
    </w:p>
    <w:p>
      <w:pPr>
        <w:ind w:left="220" w:hanging="212"/>
        <w:spacing w:after="0" w:line="180" w:lineRule="auto"/>
        <w:tabs>
          <w:tab w:leader="none" w:pos="22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Percentage based on 19,735,651 shares of Common Stock outstanding after the Issuer’s initial public offering, as disclosed in the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920" w:hanging="56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Xeris Pharmaceuticals, Inc.</w:t>
      </w:r>
    </w:p>
    <w:p>
      <w:pPr>
        <w:spacing w:after="0" w:line="225" w:lineRule="exact"/>
        <w:rPr>
          <w:rFonts w:ascii="Arial" w:cs="Arial" w:eastAsia="Arial" w:hAnsi="Arial"/>
          <w:sz w:val="18"/>
          <w:szCs w:val="18"/>
          <w:color w:val="auto"/>
        </w:rPr>
      </w:pPr>
    </w:p>
    <w:p>
      <w:pPr>
        <w:ind w:left="920" w:hanging="56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920" w:right="6879"/>
        <w:spacing w:after="0" w:line="264" w:lineRule="auto"/>
        <w:rPr>
          <w:rFonts w:ascii="Arial" w:cs="Arial" w:eastAsia="Arial" w:hAnsi="Arial"/>
          <w:sz w:val="18"/>
          <w:szCs w:val="18"/>
          <w:color w:val="auto"/>
        </w:rPr>
      </w:pPr>
      <w:r>
        <w:rPr>
          <w:rFonts w:ascii="Arial" w:cs="Arial" w:eastAsia="Arial" w:hAnsi="Arial"/>
          <w:sz w:val="18"/>
          <w:szCs w:val="18"/>
          <w:color w:val="auto"/>
        </w:rPr>
        <w:t>180 N. LaSalle Street, Suite 1810 Chicago, Illinois 60601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20" w:hanging="56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Persons Filing</w:t>
      </w:r>
    </w:p>
    <w:p>
      <w:pPr>
        <w:spacing w:after="0" w:line="225" w:lineRule="exact"/>
        <w:rPr>
          <w:rFonts w:ascii="Arial" w:cs="Arial" w:eastAsia="Arial" w:hAnsi="Arial"/>
          <w:sz w:val="18"/>
          <w:szCs w:val="18"/>
          <w:color w:val="auto"/>
        </w:rPr>
      </w:pPr>
    </w:p>
    <w:p>
      <w:pPr>
        <w:ind w:left="920" w:right="7739"/>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Jeremy C. Green</w:t>
      </w:r>
    </w:p>
    <w:p>
      <w:pPr>
        <w:spacing w:after="0" w:line="146" w:lineRule="exact"/>
        <w:rPr>
          <w:rFonts w:ascii="Arial" w:cs="Arial" w:eastAsia="Arial" w:hAnsi="Arial"/>
          <w:sz w:val="18"/>
          <w:szCs w:val="18"/>
          <w:color w:val="auto"/>
        </w:rPr>
      </w:pPr>
    </w:p>
    <w:p>
      <w:pPr>
        <w:ind w:left="920" w:hanging="561"/>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w:t>
      </w:r>
    </w:p>
    <w:p>
      <w:pPr>
        <w:spacing w:after="0" w:line="248" w:lineRule="exact"/>
        <w:rPr>
          <w:rFonts w:ascii="Arial" w:cs="Arial" w:eastAsia="Arial" w:hAnsi="Arial"/>
          <w:sz w:val="16"/>
          <w:szCs w:val="16"/>
          <w:color w:val="auto"/>
        </w:rPr>
      </w:pPr>
    </w:p>
    <w:p>
      <w:pPr>
        <w:ind w:left="920" w:right="6959"/>
        <w:spacing w:after="0" w:line="255" w:lineRule="auto"/>
        <w:rPr>
          <w:rFonts w:ascii="Arial" w:cs="Arial" w:eastAsia="Arial" w:hAnsi="Arial"/>
          <w:sz w:val="16"/>
          <w:szCs w:val="16"/>
          <w:color w:val="auto"/>
        </w:rPr>
      </w:pPr>
      <w:r>
        <w:rPr>
          <w:rFonts w:ascii="Arial" w:cs="Arial" w:eastAsia="Arial" w:hAnsi="Arial"/>
          <w:sz w:val="18"/>
          <w:szCs w:val="18"/>
          <w:color w:val="auto"/>
        </w:rPr>
        <w:t>Redmile Group, LLC One Letterman Drive Building D, Suite D3-300 The Presidio of San Francisco San Francisco, California 94129 United States of America</w:t>
      </w:r>
    </w:p>
    <w:p>
      <w:pPr>
        <w:spacing w:after="0" w:line="193"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Jeremy C. Green</w:t>
      </w:r>
    </w:p>
    <w:p>
      <w:pPr>
        <w:spacing w:after="0" w:line="23" w:lineRule="exact"/>
        <w:rPr>
          <w:rFonts w:ascii="Arial" w:cs="Arial" w:eastAsia="Arial" w:hAnsi="Arial"/>
          <w:sz w:val="16"/>
          <w:szCs w:val="16"/>
          <w:color w:val="auto"/>
        </w:rPr>
      </w:pPr>
    </w:p>
    <w:p>
      <w:pPr>
        <w:ind w:left="920" w:right="6959"/>
        <w:spacing w:after="0" w:line="252" w:lineRule="auto"/>
        <w:rPr>
          <w:rFonts w:ascii="Arial" w:cs="Arial" w:eastAsia="Arial" w:hAnsi="Arial"/>
          <w:sz w:val="16"/>
          <w:szCs w:val="16"/>
          <w:color w:val="auto"/>
        </w:rPr>
      </w:pPr>
      <w:r>
        <w:rPr>
          <w:rFonts w:ascii="Arial" w:cs="Arial" w:eastAsia="Arial" w:hAnsi="Arial"/>
          <w:sz w:val="18"/>
          <w:szCs w:val="18"/>
          <w:color w:val="auto"/>
        </w:rPr>
        <w:t>c/o Redmile Group, LLC One Letterman Drive Building D, Suite D3-300 The Presidio of San Francisco San Francisco, California 94129 United States of America</w:t>
      </w:r>
    </w:p>
    <w:p>
      <w:pPr>
        <w:spacing w:after="0" w:line="194" w:lineRule="exact"/>
        <w:rPr>
          <w:rFonts w:ascii="Arial" w:cs="Arial" w:eastAsia="Arial" w:hAnsi="Arial"/>
          <w:sz w:val="16"/>
          <w:szCs w:val="16"/>
          <w:color w:val="auto"/>
        </w:rPr>
      </w:pPr>
    </w:p>
    <w:p>
      <w:pPr>
        <w:ind w:left="920" w:hanging="56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Redmile Group, LLC: Delaware</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Jeremy C. Green: United Kingdom</w:t>
      </w:r>
    </w:p>
    <w:p>
      <w:pPr>
        <w:spacing w:after="0" w:line="210" w:lineRule="exact"/>
        <w:rPr>
          <w:rFonts w:ascii="Arial" w:cs="Arial" w:eastAsia="Arial" w:hAnsi="Arial"/>
          <w:sz w:val="18"/>
          <w:szCs w:val="18"/>
          <w:color w:val="auto"/>
        </w:rPr>
      </w:pPr>
    </w:p>
    <w:p>
      <w:pPr>
        <w:ind w:left="920" w:hanging="56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25" w:lineRule="exact"/>
        <w:rPr>
          <w:rFonts w:ascii="Arial" w:cs="Arial" w:eastAsia="Arial" w:hAnsi="Arial"/>
          <w:sz w:val="18"/>
          <w:szCs w:val="18"/>
          <w:color w:val="auto"/>
        </w:rPr>
      </w:pPr>
    </w:p>
    <w:p>
      <w:pPr>
        <w:ind w:left="920" w:right="8139" w:hanging="561"/>
        <w:spacing w:after="0" w:line="624" w:lineRule="auto"/>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98422L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224" w:lineRule="exact"/>
        <w:rPr>
          <w:sz w:val="20"/>
          <w:szCs w:val="20"/>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1500" w:hanging="574"/>
        <w:spacing w:after="0" w:line="207" w:lineRule="exact"/>
        <w:tabs>
          <w:tab w:leader="none" w:pos="15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232"/>
        </w:trPr>
        <w:tc>
          <w:tcPr>
            <w:tcW w:w="380" w:type="dxa"/>
            <w:vAlign w:val="bottom"/>
          </w:tcPr>
          <w:p>
            <w:pPr>
              <w:spacing w:after="0"/>
              <w:rPr>
                <w:sz w:val="20"/>
                <w:szCs w:val="20"/>
                <w:color w:val="auto"/>
              </w:rPr>
            </w:pPr>
            <w:r>
              <w:rPr>
                <w:rFonts w:ascii="Arial" w:cs="Arial" w:eastAsia="Arial" w:hAnsi="Arial"/>
                <w:sz w:val="18"/>
                <w:szCs w:val="18"/>
                <w:color w:val="auto"/>
              </w:rPr>
              <w:t>(i)</w:t>
            </w:r>
          </w:p>
        </w:tc>
        <w:tc>
          <w:tcPr>
            <w:tcW w:w="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9640" w:type="dxa"/>
            <w:vAlign w:val="bottom"/>
          </w:tcPr>
          <w:p>
            <w:pPr>
              <w:ind w:left="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 Act</w:t>
            </w:r>
          </w:p>
        </w:tc>
      </w:tr>
      <w:tr>
        <w:trPr>
          <w:trHeight w:val="230"/>
        </w:trPr>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Pr>
          <w:p>
            <w:pPr>
              <w:ind w:left="80"/>
              <w:spacing w:after="0"/>
              <w:rPr>
                <w:sz w:val="20"/>
                <w:szCs w:val="20"/>
                <w:color w:val="auto"/>
              </w:rPr>
            </w:pPr>
            <w:r>
              <w:rPr>
                <w:rFonts w:ascii="Arial" w:cs="Arial" w:eastAsia="Arial" w:hAnsi="Arial"/>
                <w:sz w:val="18"/>
                <w:szCs w:val="18"/>
                <w:color w:val="auto"/>
              </w:rPr>
              <w:t>of 1940 (15 U.S.C. 80a-3);</w:t>
            </w:r>
          </w:p>
        </w:tc>
      </w:tr>
    </w:tbl>
    <w:p>
      <w:pPr>
        <w:spacing w:after="0" w:line="153" w:lineRule="exact"/>
        <w:rPr>
          <w:sz w:val="20"/>
          <w:szCs w:val="20"/>
          <w:color w:val="auto"/>
        </w:rPr>
      </w:pPr>
    </w:p>
    <w:p>
      <w:pPr>
        <w:ind w:left="1500" w:hanging="574"/>
        <w:spacing w:after="0" w:line="207" w:lineRule="exact"/>
        <w:tabs>
          <w:tab w:leader="none" w:pos="15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58" w:lineRule="exact"/>
        <w:rPr>
          <w:sz w:val="20"/>
          <w:szCs w:val="20"/>
          <w:color w:val="auto"/>
        </w:rPr>
      </w:pPr>
    </w:p>
    <w:tbl>
      <w:tblPr>
        <w:tblLayout w:type="fixed"/>
        <w:tblInd w:w="920" w:type="dxa"/>
        <w:tblCellMar>
          <w:top w:w="0" w:type="dxa"/>
          <w:left w:w="0" w:type="dxa"/>
          <w:bottom w:w="0" w:type="dxa"/>
          <w:right w:w="0" w:type="dxa"/>
        </w:tblCellMar>
      </w:tblPr>
      <w:tr>
        <w:trPr>
          <w:trHeight w:val="232"/>
        </w:trPr>
        <w:tc>
          <w:tcPr>
            <w:tcW w:w="400" w:type="dxa"/>
            <w:vAlign w:val="bottom"/>
          </w:tcPr>
          <w:p>
            <w:pPr>
              <w:spacing w:after="0"/>
              <w:rPr>
                <w:sz w:val="20"/>
                <w:szCs w:val="20"/>
                <w:color w:val="auto"/>
              </w:rPr>
            </w:pPr>
            <w:r>
              <w:rPr>
                <w:rFonts w:ascii="Arial" w:cs="Arial" w:eastAsia="Arial" w:hAnsi="Arial"/>
                <w:sz w:val="18"/>
                <w:szCs w:val="18"/>
                <w:color w:val="auto"/>
              </w:rPr>
              <w:t>(k)</w:t>
            </w:r>
          </w:p>
        </w:tc>
        <w:tc>
          <w:tcPr>
            <w:tcW w:w="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420" w:type="dxa"/>
            <w:vAlign w:val="bottom"/>
          </w:tcPr>
          <w:p>
            <w:pPr>
              <w:ind w:left="80"/>
              <w:spacing w:after="0"/>
              <w:rPr>
                <w:sz w:val="20"/>
                <w:szCs w:val="20"/>
                <w:color w:val="auto"/>
              </w:rPr>
            </w:pPr>
            <w:r>
              <w:rPr>
                <w:rFonts w:ascii="Arial" w:cs="Arial" w:eastAsia="Arial" w:hAnsi="Arial"/>
                <w:sz w:val="18"/>
                <w:szCs w:val="18"/>
                <w:color w:val="auto"/>
                <w:w w:val="93"/>
              </w:rPr>
              <w:t>Group, in accordance with § 240.13d-1(b)(1)(ii)(K). If filing as a non-U.S. institution in accordance with § 240.13d-1(b)(1)(ii)(J),</w:t>
            </w:r>
          </w:p>
        </w:tc>
      </w:tr>
      <w:tr>
        <w:trPr>
          <w:trHeight w:val="230"/>
        </w:trPr>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20" w:type="dxa"/>
            <w:vAlign w:val="bottom"/>
          </w:tcPr>
          <w:p>
            <w:pPr>
              <w:ind w:left="80"/>
              <w:spacing w:after="0"/>
              <w:rPr>
                <w:sz w:val="20"/>
                <w:szCs w:val="20"/>
                <w:color w:val="auto"/>
              </w:rPr>
            </w:pPr>
            <w:r>
              <w:rPr>
                <w:rFonts w:ascii="Arial" w:cs="Arial" w:eastAsia="Arial" w:hAnsi="Arial"/>
                <w:sz w:val="18"/>
                <w:szCs w:val="18"/>
                <w:color w:val="auto"/>
              </w:rPr>
              <w:t>please specify the type of institution: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212725</wp:posOffset>
            </wp:positionV>
            <wp:extent cx="6089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9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500" w:hanging="57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500" w:right="7360"/>
        <w:spacing w:after="0" w:line="342" w:lineRule="auto"/>
        <w:rPr>
          <w:rFonts w:ascii="Arial" w:cs="Arial" w:eastAsia="Arial" w:hAnsi="Arial"/>
          <w:sz w:val="18"/>
          <w:szCs w:val="18"/>
          <w:color w:val="auto"/>
        </w:rPr>
      </w:pPr>
      <w:r>
        <w:rPr>
          <w:rFonts w:ascii="Arial" w:cs="Arial" w:eastAsia="Arial" w:hAnsi="Arial"/>
          <w:sz w:val="16"/>
          <w:szCs w:val="16"/>
          <w:color w:val="auto"/>
        </w:rPr>
        <w:t>Redmile Group, LLC – 2,412,642* Jeremy C. Green – 2,412,642*</w:t>
      </w:r>
    </w:p>
    <w:p>
      <w:pPr>
        <w:spacing w:after="0" w:line="123" w:lineRule="exact"/>
        <w:rPr>
          <w:rFonts w:ascii="Arial" w:cs="Arial" w:eastAsia="Arial" w:hAnsi="Arial"/>
          <w:sz w:val="18"/>
          <w:szCs w:val="18"/>
          <w:color w:val="auto"/>
        </w:rPr>
      </w:pPr>
    </w:p>
    <w:p>
      <w:pPr>
        <w:ind w:left="1500" w:hanging="57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500" w:right="7520"/>
        <w:spacing w:after="0" w:line="308" w:lineRule="auto"/>
        <w:rPr>
          <w:rFonts w:ascii="Arial" w:cs="Arial" w:eastAsia="Arial" w:hAnsi="Arial"/>
          <w:sz w:val="18"/>
          <w:szCs w:val="18"/>
          <w:color w:val="auto"/>
        </w:rPr>
      </w:pPr>
      <w:r>
        <w:rPr>
          <w:rFonts w:ascii="Arial" w:cs="Arial" w:eastAsia="Arial" w:hAnsi="Arial"/>
          <w:sz w:val="17"/>
          <w:szCs w:val="17"/>
          <w:color w:val="auto"/>
        </w:rPr>
        <w:t>Redmile Group, LLC – 12.2%** Jeremy C. Green – 12.2%**</w:t>
      </w:r>
    </w:p>
    <w:p>
      <w:pPr>
        <w:spacing w:after="0" w:line="146" w:lineRule="exact"/>
        <w:rPr>
          <w:rFonts w:ascii="Arial" w:cs="Arial" w:eastAsia="Arial" w:hAnsi="Arial"/>
          <w:sz w:val="18"/>
          <w:szCs w:val="18"/>
          <w:color w:val="auto"/>
        </w:rPr>
      </w:pPr>
    </w:p>
    <w:p>
      <w:pPr>
        <w:ind w:left="1500" w:hanging="574"/>
        <w:spacing w:after="0"/>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Redmile Group, LLC has:</w:t>
      </w:r>
    </w:p>
    <w:p>
      <w:pPr>
        <w:spacing w:after="0" w:line="225" w:lineRule="exact"/>
        <w:rPr>
          <w:rFonts w:ascii="Arial" w:cs="Arial" w:eastAsia="Arial" w:hAnsi="Arial"/>
          <w:sz w:val="18"/>
          <w:szCs w:val="18"/>
          <w:color w:val="auto"/>
        </w:rPr>
      </w:pPr>
    </w:p>
    <w:p>
      <w:pPr>
        <w:ind w:left="2080" w:right="6460" w:hanging="573"/>
        <w:spacing w:after="0" w:line="501" w:lineRule="auto"/>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2080" w:right="6280" w:hanging="573"/>
        <w:spacing w:after="0" w:line="501" w:lineRule="auto"/>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2,412,642*</w:t>
      </w:r>
    </w:p>
    <w:p>
      <w:pPr>
        <w:ind w:left="2080" w:right="5560" w:hanging="573"/>
        <w:spacing w:after="0" w:line="501" w:lineRule="auto"/>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2080" w:right="5380" w:hanging="573"/>
        <w:spacing w:after="0" w:line="528" w:lineRule="auto"/>
        <w:tabs>
          <w:tab w:leader="none" w:pos="2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2,412,642*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Number of shares as to which Jeremy C. Green has:</w:t>
      </w:r>
    </w:p>
    <w:p>
      <w:pPr>
        <w:spacing w:after="0" w:line="252" w:lineRule="exact"/>
        <w:rPr>
          <w:sz w:val="20"/>
          <w:szCs w:val="20"/>
          <w:color w:val="auto"/>
        </w:rPr>
      </w:pPr>
    </w:p>
    <w:p>
      <w:pPr>
        <w:ind w:left="1160" w:right="6480" w:hanging="573"/>
        <w:spacing w:after="0" w:line="501"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160" w:right="6300" w:hanging="573"/>
        <w:spacing w:after="0" w:line="501"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2,412,642*</w:t>
      </w:r>
    </w:p>
    <w:p>
      <w:pPr>
        <w:ind w:left="1160" w:right="5580" w:hanging="573"/>
        <w:spacing w:after="0" w:line="501"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160" w:right="5400" w:hanging="573"/>
        <w:spacing w:after="0" w:line="516"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2,412,642*</w:t>
      </w:r>
    </w:p>
    <w:p>
      <w:pPr>
        <w:spacing w:after="0" w:line="1" w:lineRule="exact"/>
        <w:rPr>
          <w:rFonts w:ascii="Arial" w:cs="Arial" w:eastAsia="Arial" w:hAnsi="Arial"/>
          <w:sz w:val="18"/>
          <w:szCs w:val="18"/>
          <w:color w:val="auto"/>
        </w:rPr>
      </w:pPr>
    </w:p>
    <w:p>
      <w:pPr>
        <w:ind w:left="620" w:hanging="243"/>
        <w:spacing w:after="0" w:line="273" w:lineRule="auto"/>
        <w:rPr>
          <w:rFonts w:ascii="Arial" w:cs="Arial" w:eastAsia="Arial" w:hAnsi="Arial"/>
          <w:sz w:val="18"/>
          <w:szCs w:val="18"/>
          <w:color w:val="auto"/>
        </w:rPr>
      </w:pPr>
      <w:r>
        <w:rPr>
          <w:rFonts w:ascii="Arial" w:cs="Arial" w:eastAsia="Arial" w:hAnsi="Arial"/>
          <w:sz w:val="17"/>
          <w:szCs w:val="17"/>
          <w:color w:val="auto"/>
        </w:rPr>
        <w:t>* Redmile Group, LLC’s and Jeremy C. Green’s beneficial ownership of the Issuer’s Common Stock is comprised of 2,412,642 shares of Common Stock owned by certain private investment vehicles and separately managed accounts managed by Redmile Group, LLC, which shares of Common Stock may be deemed beneficially owned by Redmile Group, LLC as investment manager of such private investment vehicles and separately managed accounts. The reported securities may also be deemed beneficially owned by Jeremy C. Green as the principal of Redmile Group, LLC. Redmile Group, LLC and Mr. Green each disclaim beneficial ownership of these shares, except to the extent of its or his pecuniary interest in such shares, if any.</w:t>
      </w:r>
    </w:p>
    <w:p>
      <w:pPr>
        <w:spacing w:after="0" w:line="205" w:lineRule="exact"/>
        <w:rPr>
          <w:sz w:val="20"/>
          <w:szCs w:val="20"/>
          <w:color w:val="auto"/>
        </w:rPr>
      </w:pPr>
    </w:p>
    <w:p>
      <w:pPr>
        <w:ind w:left="580" w:right="220" w:hanging="188"/>
        <w:spacing w:after="0" w:line="277" w:lineRule="auto"/>
        <w:rPr>
          <w:sz w:val="20"/>
          <w:szCs w:val="20"/>
          <w:color w:val="auto"/>
        </w:rPr>
      </w:pPr>
      <w:r>
        <w:rPr>
          <w:rFonts w:ascii="Arial" w:cs="Arial" w:eastAsia="Arial" w:hAnsi="Arial"/>
          <w:sz w:val="18"/>
          <w:szCs w:val="18"/>
          <w:color w:val="auto"/>
        </w:rPr>
        <w:t>**Percentage based on 19,735,651 shares of Common Stock outstanding after the Issuer’s initial public offering, as disclosed in the Final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Five Percent or Less of a Class.</w:t>
      </w:r>
    </w:p>
    <w:p>
      <w:pPr>
        <w:spacing w:after="0" w:line="229" w:lineRule="exact"/>
        <w:rPr>
          <w:sz w:val="20"/>
          <w:szCs w:val="20"/>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Exhibit A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256540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640" w:space="280"/>
            <w:col w:w="10500"/>
          </w:cols>
          <w:pgMar w:left="240" w:top="125" w:right="23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June 27, 2018</w:t>
      </w:r>
    </w:p>
    <w:p>
      <w:pPr>
        <w:spacing w:after="0" w:line="200" w:lineRule="exact"/>
        <w:rPr>
          <w:sz w:val="20"/>
          <w:szCs w:val="20"/>
          <w:color w:val="auto"/>
        </w:rPr>
      </w:pPr>
    </w:p>
    <w:p>
      <w:pPr>
        <w:spacing w:after="0" w:line="26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Redmile Group, LLC</w:t>
      </w:r>
    </w:p>
    <w:p>
      <w:pPr>
        <w:spacing w:after="0" w:line="225" w:lineRule="exact"/>
        <w:rPr>
          <w:sz w:val="20"/>
          <w:szCs w:val="20"/>
          <w:color w:val="auto"/>
        </w:rPr>
      </w:pPr>
    </w:p>
    <w:p>
      <w:pPr>
        <w:ind w:left="5960"/>
        <w:spacing w:after="0"/>
        <w:tabs>
          <w:tab w:leader="none" w:pos="6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2"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1" w:right="599" w:bottom="1440" w:gutter="0" w:footer="0" w:header="0"/>
        </w:sectPr>
      </w:pPr>
    </w:p>
    <w:bookmarkStart w:id="7" w:name="page8"/>
    <w:bookmarkEnd w:id="7"/>
    <w:p>
      <w:pPr>
        <w:ind w:left="53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Redmile Group, LLC is the relevant entity for which Jeremy C. Green may be considered a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the undersigned hereby agree to the joint filing on behalf of each of them of a Statement on Schedule 13G (including any and all amendments thereto, the “</w:t>
      </w:r>
      <w:r>
        <w:rPr>
          <w:rFonts w:ascii="Arial" w:cs="Arial" w:eastAsia="Arial" w:hAnsi="Arial"/>
          <w:sz w:val="18"/>
          <w:szCs w:val="18"/>
          <w:u w:val="single" w:color="auto"/>
          <w:color w:val="auto"/>
        </w:rPr>
        <w:t>Schedule 13G</w:t>
      </w:r>
      <w:r>
        <w:rPr>
          <w:rFonts w:ascii="Arial" w:cs="Arial" w:eastAsia="Arial" w:hAnsi="Arial"/>
          <w:sz w:val="18"/>
          <w:szCs w:val="18"/>
          <w:color w:val="auto"/>
        </w:rPr>
        <w:t>”) relating to the common stock, $0.0001 par value per share, of Xeris Pharmaceuticals, Inc., which may be deemed necessary pursuant to Regulation 13D or 13G promulgated under the Exchange Act.</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further agree that each party hereto is responsible for the timely filing of the Schedule 13G, and for the accuracy and completeness of the information concerning such party contained therein; provided, however, that no party is responsible for the accuracy or completeness of the information concerning any other party, unless such party knows or has a reason to believe that such information is inaccurate.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understood and agreed that a copy of this Joint Filing Agreement shall be attached as an exhibit to the Schedule 13G, filed on behalf of each of the parties hereto.</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executed this Joint Filing Agreement as of the 27th day of June, 2018.</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REDMILE GROUP,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C. Green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JEREMY C.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0"/>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2019-12-07T02:47:35Z</dcterms:created>
  <dcterms:modified xsi:type="dcterms:W3CDTF">2019-12-07T02:47:35Z</dcterms:modified>
</cp:coreProperties>
</file>