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274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27494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Pieper Steven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2" w:lineRule="auto"/>
        <w:rPr>
          <w:sz w:val="20"/>
          <w:szCs w:val="20"/>
          <w:color w:val="auto"/>
        </w:rPr>
      </w:pPr>
      <w:r>
        <w:rPr>
          <w:rFonts w:ascii="Times New Roman" w:cs="Times New Roman" w:eastAsia="Times New Roman" w:hAnsi="Times New Roman"/>
          <w:sz w:val="16"/>
          <w:szCs w:val="16"/>
          <w:color w:val="0000FF"/>
        </w:rPr>
        <w:t>C/O XERIS BIOPHARMA HOLDINGS, INC. 1375 WEST FULTON STREET, SUITE 1300</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CHICAGO</w:t>
      </w:r>
      <w:r>
        <w:rPr>
          <w:sz w:val="20"/>
          <w:szCs w:val="20"/>
          <w:color w:val="auto"/>
        </w:rPr>
        <w:tab/>
      </w:r>
      <w:r>
        <w:rPr>
          <w:rFonts w:ascii="Times New Roman" w:cs="Times New Roman" w:eastAsia="Times New Roman" w:hAnsi="Times New Roman"/>
          <w:sz w:val="17"/>
          <w:szCs w:val="17"/>
          <w:color w:val="0000FF"/>
        </w:rPr>
        <w:t>IL</w:t>
      </w:r>
      <w:r>
        <w:rPr>
          <w:sz w:val="20"/>
          <w:szCs w:val="20"/>
          <w:color w:val="auto"/>
        </w:rPr>
        <w:tab/>
      </w:r>
      <w:r>
        <w:rPr>
          <w:rFonts w:ascii="Times New Roman" w:cs="Times New Roman" w:eastAsia="Times New Roman" w:hAnsi="Times New Roman"/>
          <w:sz w:val="16"/>
          <w:szCs w:val="16"/>
          <w:color w:val="0000FF"/>
        </w:rPr>
        <w:t>60607</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Xeris Biopharma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XERS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80" w:type="dxa"/>
            <w:vAlign w:val="bottom"/>
            <w:tcBorders>
              <w:bottom w:val="single" w:sz="8" w:color="0000EE"/>
            </w:tcBorders>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48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940" w:type="dxa"/>
            <w:vAlign w:val="bottom"/>
            <w:vMerge w:val="restart"/>
          </w:tcPr>
          <w:p>
            <w:pPr>
              <w:ind w:left="102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01/30/2026</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240" w:space="6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51"/>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51"/>
              <w:spacing w:after="0"/>
              <w:rPr>
                <w:sz w:val="20"/>
                <w:szCs w:val="20"/>
                <w:color w:val="auto"/>
              </w:rPr>
            </w:pPr>
            <w:r>
              <w:rPr>
                <w:rFonts w:ascii="Times New Roman" w:cs="Times New Roman" w:eastAsia="Times New Roman" w:hAnsi="Times New Roman"/>
                <w:sz w:val="17"/>
                <w:szCs w:val="17"/>
                <w:color w:val="0000FF"/>
                <w:w w:val="95"/>
              </w:rPr>
              <w:t>01/30/2026</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040" w:type="dxa"/>
            <w:vAlign w:val="bottom"/>
            <w:tcBorders>
              <w:bottom w:val="single" w:sz="8" w:color="2C2C2C"/>
            </w:tcBorders>
            <w:gridSpan w:val="2"/>
          </w:tcPr>
          <w:p>
            <w:pPr>
              <w:jc w:val="center"/>
              <w:ind w:left="31"/>
              <w:spacing w:after="0"/>
              <w:rPr>
                <w:sz w:val="20"/>
                <w:szCs w:val="20"/>
                <w:color w:val="auto"/>
              </w:rPr>
            </w:pPr>
            <w:r>
              <w:rPr>
                <w:rFonts w:ascii="Times New Roman" w:cs="Times New Roman" w:eastAsia="Times New Roman" w:hAnsi="Times New Roman"/>
                <w:sz w:val="17"/>
                <w:szCs w:val="17"/>
                <w:color w:val="0000FF"/>
                <w:w w:val="92"/>
              </w:rPr>
              <w:t>154,986</w:t>
            </w:r>
            <w:r>
              <w:rPr>
                <w:rFonts w:ascii="Times New Roman" w:cs="Times New Roman" w:eastAsia="Times New Roman" w:hAnsi="Times New Roman"/>
                <w:sz w:val="21"/>
                <w:szCs w:val="21"/>
                <w:color w:val="008000"/>
                <w:w w:val="92"/>
                <w:vertAlign w:val="superscript"/>
              </w:rPr>
              <w:t>(1)</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5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222"/>
              <w:spacing w:after="0"/>
              <w:rPr>
                <w:sz w:val="20"/>
                <w:szCs w:val="20"/>
                <w:color w:val="auto"/>
              </w:rPr>
            </w:pPr>
            <w:r>
              <w:rPr>
                <w:rFonts w:ascii="Times New Roman" w:cs="Times New Roman" w:eastAsia="Times New Roman" w:hAnsi="Times New Roman"/>
                <w:sz w:val="17"/>
                <w:szCs w:val="17"/>
                <w:color w:val="0000FF"/>
              </w:rPr>
              <w:t>1,572,547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51"/>
              <w:spacing w:after="0"/>
              <w:rPr>
                <w:sz w:val="20"/>
                <w:szCs w:val="20"/>
                <w:color w:val="auto"/>
              </w:rPr>
            </w:pPr>
            <w:r>
              <w:rPr>
                <w:rFonts w:ascii="Times New Roman" w:cs="Times New Roman" w:eastAsia="Times New Roman" w:hAnsi="Times New Roman"/>
                <w:sz w:val="17"/>
                <w:szCs w:val="17"/>
                <w:color w:val="0000FF"/>
                <w:w w:val="95"/>
              </w:rPr>
              <w:t>01/31/2026</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040" w:type="dxa"/>
            <w:vAlign w:val="bottom"/>
            <w:tcBorders>
              <w:bottom w:val="single" w:sz="8" w:color="2C2C2C"/>
            </w:tcBorders>
            <w:gridSpan w:val="2"/>
          </w:tcPr>
          <w:p>
            <w:pPr>
              <w:jc w:val="center"/>
              <w:ind w:left="11"/>
              <w:spacing w:after="0"/>
              <w:rPr>
                <w:sz w:val="20"/>
                <w:szCs w:val="20"/>
                <w:color w:val="auto"/>
              </w:rPr>
            </w:pPr>
            <w:r>
              <w:rPr>
                <w:rFonts w:ascii="Times New Roman" w:cs="Times New Roman" w:eastAsia="Times New Roman" w:hAnsi="Times New Roman"/>
                <w:sz w:val="17"/>
                <w:szCs w:val="17"/>
                <w:color w:val="0000FF"/>
                <w:w w:val="89"/>
              </w:rPr>
              <w:t>111,765</w:t>
            </w:r>
            <w:r>
              <w:rPr>
                <w:rFonts w:ascii="Times New Roman" w:cs="Times New Roman" w:eastAsia="Times New Roman" w:hAnsi="Times New Roman"/>
                <w:sz w:val="21"/>
                <w:szCs w:val="21"/>
                <w:color w:val="008000"/>
                <w:w w:val="89"/>
                <w:vertAlign w:val="superscript"/>
              </w:rPr>
              <w:t>(2)</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7.36</w:t>
            </w:r>
          </w:p>
        </w:tc>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222"/>
              <w:spacing w:after="0"/>
              <w:rPr>
                <w:sz w:val="20"/>
                <w:szCs w:val="20"/>
                <w:color w:val="auto"/>
              </w:rPr>
            </w:pPr>
            <w:r>
              <w:rPr>
                <w:rFonts w:ascii="Times New Roman" w:cs="Times New Roman" w:eastAsia="Times New Roman" w:hAnsi="Times New Roman"/>
                <w:sz w:val="17"/>
                <w:szCs w:val="17"/>
                <w:color w:val="0000FF"/>
              </w:rPr>
              <w:t>1,460,782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51"/>
              <w:spacing w:after="0"/>
              <w:rPr>
                <w:sz w:val="20"/>
                <w:szCs w:val="20"/>
                <w:color w:val="auto"/>
              </w:rPr>
            </w:pPr>
            <w:r>
              <w:rPr>
                <w:rFonts w:ascii="Times New Roman" w:cs="Times New Roman" w:eastAsia="Times New Roman" w:hAnsi="Times New Roman"/>
                <w:sz w:val="17"/>
                <w:szCs w:val="17"/>
                <w:color w:val="0000FF"/>
                <w:w w:val="95"/>
              </w:rPr>
              <w:t>01/31/2026</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040" w:type="dxa"/>
            <w:vAlign w:val="bottom"/>
            <w:tcBorders>
              <w:bottom w:val="single" w:sz="8" w:color="2C2C2C"/>
            </w:tcBorders>
            <w:gridSpan w:val="2"/>
          </w:tcPr>
          <w:p>
            <w:pPr>
              <w:jc w:val="center"/>
              <w:ind w:left="31"/>
              <w:spacing w:after="0"/>
              <w:rPr>
                <w:sz w:val="20"/>
                <w:szCs w:val="20"/>
                <w:color w:val="auto"/>
              </w:rPr>
            </w:pPr>
            <w:r>
              <w:rPr>
                <w:rFonts w:ascii="Times New Roman" w:cs="Times New Roman" w:eastAsia="Times New Roman" w:hAnsi="Times New Roman"/>
                <w:sz w:val="17"/>
                <w:szCs w:val="17"/>
                <w:color w:val="0000FF"/>
                <w:w w:val="91"/>
              </w:rPr>
              <w:t>66,450</w:t>
            </w:r>
            <w:r>
              <w:rPr>
                <w:rFonts w:ascii="Times New Roman" w:cs="Times New Roman" w:eastAsia="Times New Roman" w:hAnsi="Times New Roman"/>
                <w:sz w:val="21"/>
                <w:szCs w:val="21"/>
                <w:color w:val="008000"/>
                <w:w w:val="91"/>
                <w:vertAlign w:val="superscript"/>
              </w:rPr>
              <w:t>(2)</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7.36</w:t>
            </w:r>
          </w:p>
        </w:tc>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222"/>
              <w:spacing w:after="0"/>
              <w:rPr>
                <w:sz w:val="20"/>
                <w:szCs w:val="20"/>
                <w:color w:val="auto"/>
              </w:rPr>
            </w:pPr>
            <w:r>
              <w:rPr>
                <w:rFonts w:ascii="Times New Roman" w:cs="Times New Roman" w:eastAsia="Times New Roman" w:hAnsi="Times New Roman"/>
                <w:sz w:val="17"/>
                <w:szCs w:val="17"/>
                <w:color w:val="0000FF"/>
              </w:rPr>
              <w:t>1,394,332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51"/>
              <w:spacing w:after="0"/>
              <w:rPr>
                <w:sz w:val="20"/>
                <w:szCs w:val="20"/>
                <w:color w:val="auto"/>
              </w:rPr>
            </w:pPr>
            <w:r>
              <w:rPr>
                <w:rFonts w:ascii="Times New Roman" w:cs="Times New Roman" w:eastAsia="Times New Roman" w:hAnsi="Times New Roman"/>
                <w:sz w:val="17"/>
                <w:szCs w:val="17"/>
                <w:color w:val="0000FF"/>
                <w:w w:val="95"/>
              </w:rPr>
              <w:t>01/31/2026</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040" w:type="dxa"/>
            <w:vAlign w:val="bottom"/>
            <w:tcBorders>
              <w:bottom w:val="single" w:sz="8" w:color="2C2C2C"/>
            </w:tcBorders>
            <w:gridSpan w:val="2"/>
          </w:tcPr>
          <w:p>
            <w:pPr>
              <w:jc w:val="center"/>
              <w:ind w:left="31"/>
              <w:spacing w:after="0"/>
              <w:rPr>
                <w:sz w:val="20"/>
                <w:szCs w:val="20"/>
                <w:color w:val="auto"/>
              </w:rPr>
            </w:pPr>
            <w:r>
              <w:rPr>
                <w:rFonts w:ascii="Times New Roman" w:cs="Times New Roman" w:eastAsia="Times New Roman" w:hAnsi="Times New Roman"/>
                <w:sz w:val="17"/>
                <w:szCs w:val="17"/>
                <w:color w:val="0000FF"/>
                <w:w w:val="91"/>
              </w:rPr>
              <w:t>27,319</w:t>
            </w:r>
            <w:r>
              <w:rPr>
                <w:rFonts w:ascii="Times New Roman" w:cs="Times New Roman" w:eastAsia="Times New Roman" w:hAnsi="Times New Roman"/>
                <w:sz w:val="21"/>
                <w:szCs w:val="21"/>
                <w:color w:val="008000"/>
                <w:w w:val="91"/>
                <w:vertAlign w:val="superscript"/>
              </w:rPr>
              <w:t>(2)</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7.36</w:t>
            </w:r>
          </w:p>
        </w:tc>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222"/>
              <w:spacing w:after="0"/>
              <w:rPr>
                <w:sz w:val="20"/>
                <w:szCs w:val="20"/>
                <w:color w:val="auto"/>
              </w:rPr>
            </w:pPr>
            <w:r>
              <w:rPr>
                <w:rFonts w:ascii="Times New Roman" w:cs="Times New Roman" w:eastAsia="Times New Roman" w:hAnsi="Times New Roman"/>
                <w:sz w:val="17"/>
                <w:szCs w:val="17"/>
                <w:color w:val="0000FF"/>
              </w:rPr>
              <w:t>1,367,013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7.36</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01/30/2026</w:t>
            </w:r>
          </w:p>
        </w:tc>
        <w:tc>
          <w:tcPr>
            <w:tcW w:w="108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207,207</w:t>
            </w:r>
          </w:p>
        </w:tc>
        <w:tc>
          <w:tcPr>
            <w:tcW w:w="260" w:type="dxa"/>
            <w:vAlign w:val="bottom"/>
          </w:tcPr>
          <w:p>
            <w:pPr>
              <w:spacing w:after="0"/>
              <w:rPr>
                <w:sz w:val="17"/>
                <w:szCs w:val="17"/>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01/30/2036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207,207</w:t>
            </w:r>
          </w:p>
        </w:tc>
        <w:tc>
          <w:tcPr>
            <w:tcW w:w="20" w:type="dxa"/>
            <w:vAlign w:val="bottom"/>
          </w:tcPr>
          <w:p>
            <w:pPr>
              <w:spacing w:after="0"/>
              <w:rPr>
                <w:sz w:val="17"/>
                <w:szCs w:val="17"/>
                <w:color w:val="auto"/>
              </w:rPr>
            </w:pPr>
          </w:p>
        </w:tc>
        <w:tc>
          <w:tcPr>
            <w:tcW w:w="720" w:type="dxa"/>
            <w:vAlign w:val="bottom"/>
            <w:gridSpan w:val="2"/>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207,207</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gridSpan w:val="2"/>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pursuant to a restricted stock unit grant under the Company's 2018 Stock Option and Incentive Plan (the "Plan"). Each restricted stock unit represents a contingent right to receive one share of the Company's common stock. These shares shall vest in equal annual installments over three years, subject to continued employment through such vesting date.</w:t>
      </w:r>
    </w:p>
    <w:p>
      <w:pPr>
        <w:spacing w:after="0" w:line="19" w:lineRule="exact"/>
        <w:rPr>
          <w:rFonts w:ascii="Times New Roman" w:cs="Times New Roman" w:eastAsia="Times New Roman" w:hAnsi="Times New Roman"/>
          <w:sz w:val="13"/>
          <w:szCs w:val="13"/>
          <w:color w:val="008000"/>
        </w:rPr>
      </w:pPr>
    </w:p>
    <w:p>
      <w:pPr>
        <w:ind w:left="40" w:right="2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its income tax and withholding and remittance obligations in connection with the net settlement of restricted stock units vested as of January 31, 2026.</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acquired pursuant to a grant under the Plan. These stock options shall vest in equal annual installments over three years, subject to continued service through such vesting 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w:t>
      </w:r>
    </w:p>
    <w:p>
      <w:pPr>
        <w:spacing w:after="0" w:line="6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Beth Hecht, Attorney-in-Fact 02/02/2026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5714" TargetMode="External"/><Relationship Id="rId14" Type="http://schemas.openxmlformats.org/officeDocument/2006/relationships/hyperlink" Target="http://www.sec.gov/cgi-bin/browse-edgar?action=getcompany&amp;CIK=0001867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2026-02-02T17:14:52Z</dcterms:created>
  <dcterms:modified xsi:type="dcterms:W3CDTF">2026-02-02T17:14:52Z</dcterms:modified>
</cp:coreProperties>
</file>