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filed with the Securities and Exchange Commission on March 6, 2024</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Registration No. 333-</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6" w:before="0" w:after="0"/>
              <w:jc w:val="left"/>
              <w:rPr>
                <w:color w:val="000000"/>
              </w:rPr>
            </w:pPr>
            <w:r>
              <w:rPr>
                <w:color w:val="000000"/>
              </w:rPr>
              <w:t> </w:t>
            </w:r>
          </w:p>
          <w:p>
            <w:pPr>
              <w:pStyle w:val="TableContents"/>
              <w:bidi w:val="0"/>
              <w:spacing w:lineRule="auto" w:line="276" w:before="0" w:after="40"/>
              <w:jc w:val="left"/>
              <w:rPr>
                <w:color w:val="000000"/>
              </w:rPr>
            </w:pPr>
            <w:r>
              <w:rPr>
                <w:color w:val="000000"/>
              </w:rPr>
              <w:t> </w:t>
            </w:r>
          </w:p>
        </w:tc>
      </w:tr>
    </w:tbl>
    <w:p>
      <w:pPr>
        <w:pStyle w:val="TextBody"/>
        <w:bidi w:val="0"/>
        <w:spacing w:lineRule="auto" w:line="240" w:before="80" w:after="283"/>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240" w:after="283"/>
        <w:jc w:val="center"/>
        <w:rPr>
          <w:rFonts w:ascii="Times New Roman;sans-serif" w:hAnsi="Times New Roman;sans-serif"/>
          <w:b/>
          <w:color w:val="000000"/>
          <w:sz w:val="36"/>
        </w:rPr>
      </w:pPr>
      <w:r>
        <w:rPr>
          <w:rFonts w:ascii="Times New Roman;sans-serif" w:hAnsi="Times New Roman;sans-serif"/>
          <w:b/>
          <w:color w:val="000000"/>
          <w:sz w:val="36"/>
        </w:rPr>
        <w:t>FORM S-8</w:t>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REGISTRATION STATEMENT </w:t>
      </w:r>
    </w:p>
    <w:p>
      <w:pPr>
        <w:pStyle w:val="TextBody"/>
        <w:bidi w:val="0"/>
        <w:spacing w:lineRule="auto" w:line="240" w:before="0" w:after="0"/>
        <w:jc w:val="center"/>
        <w:rPr>
          <w:rFonts w:ascii="Times New Roman;sans-serif" w:hAnsi="Times New Roman;sans-serif"/>
          <w:b/>
          <w:i/>
          <w:color w:val="000000"/>
          <w:sz w:val="24"/>
        </w:rPr>
      </w:pPr>
      <w:r>
        <w:rPr>
          <w:rFonts w:ascii="Times New Roman;sans-serif" w:hAnsi="Times New Roman;sans-serif"/>
          <w:b/>
          <w:i/>
          <w:color w:val="000000"/>
          <w:sz w:val="24"/>
        </w:rPr>
        <w:t xml:space="preserve">Under </w:t>
      </w:r>
    </w:p>
    <w:p>
      <w:pPr>
        <w:pStyle w:val="TextBody"/>
        <w:bidi w:val="0"/>
        <w:spacing w:lineRule="auto" w:line="240" w:before="0" w:after="0"/>
        <w:jc w:val="center"/>
        <w:rPr>
          <w:rFonts w:ascii="Times New Roman;sans-serif" w:hAnsi="Times New Roman;sans-serif"/>
          <w:b/>
          <w:i/>
          <w:color w:val="000000"/>
          <w:sz w:val="24"/>
        </w:rPr>
      </w:pPr>
      <w:r>
        <w:rPr>
          <w:rFonts w:ascii="Times New Roman;sans-serif" w:hAnsi="Times New Roman;sans-serif"/>
          <w:b/>
          <w:i/>
          <w:color w:val="000000"/>
          <w:sz w:val="24"/>
        </w:rPr>
        <w:t xml:space="preserve">The Securities Act of 1933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240" w:after="283"/>
        <w:jc w:val="center"/>
        <w:rPr>
          <w:rFonts w:ascii="Times New Roman;sans-serif" w:hAnsi="Times New Roman;sans-serif"/>
          <w:b/>
          <w:color w:val="000000"/>
          <w:sz w:val="48"/>
        </w:rPr>
      </w:pPr>
      <w:r>
        <w:rPr>
          <w:rFonts w:ascii="Times New Roman;sans-serif" w:hAnsi="Times New Roman;sans-serif"/>
          <w:b/>
          <w:color w:val="000000"/>
          <w:sz w:val="48"/>
        </w:rPr>
        <w:t xml:space="preserve">XERIS BIOPHARMA HOLDINGS, INC.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0" w:after="0"/>
        <w:jc w:val="left"/>
        <w:rPr>
          <w:color w:val="000000"/>
        </w:rPr>
      </w:pPr>
      <w:r>
        <w:rPr>
          <w:color w:val="000000"/>
        </w:rPr>
        <w:t> </w:t>
      </w:r>
    </w:p>
    <w:tbl>
      <w:tblPr>
        <w:tblW w:w="4181" w:type="dxa"/>
        <w:jc w:val="left"/>
        <w:tblInd w:w="0" w:type="dxa"/>
        <w:tblLayout w:type="fixed"/>
        <w:tblCellMar>
          <w:top w:w="28" w:type="dxa"/>
          <w:left w:w="28" w:type="dxa"/>
          <w:bottom w:w="28" w:type="dxa"/>
          <w:right w:w="28" w:type="dxa"/>
        </w:tblCellMar>
      </w:tblPr>
      <w:tblGrid>
        <w:gridCol w:w="857"/>
        <w:gridCol w:w="751"/>
        <w:gridCol w:w="762"/>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87-1082097</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1375 W. Fulton Street, Suite 1300</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Chicago, Illinois 60607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1-844-445-5704</w:t>
      </w:r>
    </w:p>
    <w:p>
      <w:pPr>
        <w:pStyle w:val="TextBody"/>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(Address of Principal Executive Offices, including Zip Code) </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Xeris Pharmaceuticals, Inc. 2018 Stock Option and Incentive Plan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Xeris Pharmaceuticals, Inc. 2018 Employee Stock Purchase Plan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Xeris Pharmaceuticals, Inc. Inducement Equity Plan, as amended </w:t>
      </w:r>
    </w:p>
    <w:p>
      <w:pPr>
        <w:pStyle w:val="TextBody"/>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(Full Title of the Plans) </w:t>
      </w:r>
    </w:p>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Paul R. Edick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Chief Executive Officer and Chairman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Xeris Biopharma Holdings, Inc.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1375 W. Fulton Street, Suite 1300</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Chicago, Illinois 60607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1-844-445-5704</w:t>
      </w:r>
    </w:p>
    <w:p>
      <w:pPr>
        <w:pStyle w:val="TextBody"/>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(Name, Address and Telephone Number of Agent For Service) </w:t>
      </w:r>
    </w:p>
    <w:p>
      <w:pPr>
        <w:pStyle w:val="TextBody"/>
        <w:bidi w:val="0"/>
        <w:spacing w:lineRule="auto" w:line="240" w:before="240" w:after="283"/>
        <w:jc w:val="center"/>
        <w:rPr>
          <w:rFonts w:ascii="Times New Roman;sans-serif" w:hAnsi="Times New Roman;sans-serif"/>
          <w:b/>
          <w:i/>
          <w:color w:val="000000"/>
          <w:sz w:val="20"/>
        </w:rPr>
      </w:pPr>
      <w:r>
        <w:rPr>
          <w:rFonts w:ascii="Times New Roman;sans-serif" w:hAnsi="Times New Roman;sans-serif"/>
          <w:b/>
          <w:i/>
          <w:color w:val="000000"/>
          <w:sz w:val="20"/>
        </w:rPr>
        <w:t xml:space="preserve">Copies to: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Joseph C. Theis, Jr., Esq.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Goodwin Procter LLP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100 Northern Avenue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Boston, Massachusetts 02210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(617) 570-1000</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color w:val="000000"/>
        </w:rPr>
      </w:pPr>
      <w:r>
        <w:rPr>
          <w:color w:val="000000"/>
        </w:rPr>
        <w:t> </w:t>
      </w:r>
    </w:p>
    <w:tbl>
      <w:tblPr>
        <w:tblW w:w="5912" w:type="dxa"/>
        <w:jc w:val="left"/>
        <w:tblInd w:w="0" w:type="dxa"/>
        <w:tblLayout w:type="fixed"/>
        <w:tblCellMar>
          <w:top w:w="28" w:type="dxa"/>
          <w:left w:w="28" w:type="dxa"/>
          <w:bottom w:w="28" w:type="dxa"/>
          <w:right w:w="28" w:type="dxa"/>
        </w:tblCellMar>
      </w:tblPr>
      <w:tblGrid>
        <w:gridCol w:w="696"/>
        <w:gridCol w:w="612"/>
        <w:gridCol w:w="61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before="12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20"/>
        <w:jc w:val="left"/>
        <w:rPr/>
      </w:pPr>
      <w:r>
        <w:rPr/>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120" w:after="120"/>
        <w:jc w:val="center"/>
        <w:rPr>
          <w:rFonts w:ascii="Times New Roman;sans-serif" w:hAnsi="Times New Roman;sans-serif"/>
          <w:b/>
          <w:color w:val="000000"/>
          <w:sz w:val="20"/>
        </w:rPr>
      </w:pPr>
      <w:r>
        <w:rPr>
          <w:rFonts w:ascii="Times New Roman;sans-serif" w:hAnsi="Times New Roman;sans-serif"/>
          <w:b/>
          <w:color w:val="000000"/>
          <w:sz w:val="20"/>
        </w:rPr>
        <w:t xml:space="preserve">EXPLANATORY NOTE </w:t>
      </w:r>
    </w:p>
    <w:p>
      <w:pPr>
        <w:pStyle w:val="TextBody"/>
        <w:bidi w:val="0"/>
        <w:spacing w:lineRule="auto" w:line="268" w:before="0" w:after="0"/>
        <w:jc w:val="left"/>
        <w:rPr/>
      </w:pPr>
      <w:r>
        <w:rPr>
          <w:rFonts w:ascii="Times New Roman;sans-serif" w:hAnsi="Times New Roman;sans-serif"/>
          <w:b w:val="false"/>
          <w:color w:val="000000"/>
          <w:sz w:val="20"/>
        </w:rPr>
        <w:t>This Registration Statement on Form S-8 is filed for the purposes of registering</w:t>
      </w:r>
      <w:r>
        <w:rPr>
          <w:color w:val="000000"/>
        </w:rPr>
        <w:t xml:space="preserve"> </w:t>
      </w:r>
      <w:r>
        <w:rPr>
          <w:rFonts w:ascii="Times New Roman;sans-serif" w:hAnsi="Times New Roman;sans-serif"/>
          <w:b w:val="false"/>
          <w:color w:val="000000"/>
          <w:sz w:val="20"/>
        </w:rPr>
        <w:t xml:space="preserve">(i) 5,525,229 additional shares of common stock, par value $0.0001 per share (“Common Stock”) of Xeris Biopharma Holdings, Inc. (the “Registrant”) that may be issued pursuant to the Xeris Pharmaceuticals, Inc. 2018 Stock Option and Incentive Plan (the “2018 Plan”), (ii) 386,000 additional shares of Common Stock that may be issued pursuant to the Xeris Pharmaceuticals, Inc. 2018 Employee Stock Purchase Plan (the “2018 ESPP”), and (iii) 1,380,762 additional shares of Common Stock that may be issued pursuant to the Xeris Pharmaceuticals, Inc. Inducement Equity Plan (the “Xeris Inducement Plan”). </w:t>
      </w:r>
    </w:p>
    <w:p>
      <w:pPr>
        <w:pStyle w:val="TextBody"/>
        <w:bidi w:val="0"/>
        <w:spacing w:lineRule="auto" w:line="26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shares of Common Stock reserved and available for issuance under the 2018 Plan is subject to an automatic annual increase on each January 1 by an amount equal to up to four percent of the number of shares of Common Stock issued and outstanding on the immediately preceding December 31 or such lesser number of shares of Common Stock as determined by the Administrator (as defined in the 2018 Plan). Accordingly, on January 1, 2024, the number of shares of Common Stock reserved and available for issuance under the 2018 Plan increased by 5,525,229. This Registration Statement registers these additional 5,525,229 shares of Common Stock. The additional shares are of the same class as other securities relating to the 2018 Plan for which the Registrant’s registration statement filed on Form S-8 (Registration No. 333-260068) on October 5, 2021, is effective. The number of shares of Common Stock reserved and available for issuance under the 2018 ESPP is subject to an automatic annual increase on each January 1 by an amount equal to the least of one percent of the number of shares of Common Stock issued and outstanding on the immediately preceding December 31, 386,000 shares of Common Stock or such lesser number of shares of Common Stock as determined by the Administrator (as defined in the 2018 ESPP). Accordingly, on January 1, 2024, the number of shares of Common Stock reserved and available for issuance under the 2018 ESPP increased by 386,000. This Registration Statement registers these additional 386,000 shares of Common Stock. The additional shares are of the same class as other securities relating to the 2018 ESPP for which the Registrant’s registration statement filed on Form S-8 (Registration No. 333-260068) on October 5, 2021, is effective. On February 28, 2024, the board of directors of the Registrant (the “Board of Directors”) approved (i) an amendment to the Xeris Inducement Plan to increase the number of shares of Common Stock reserved and available for issuance under the Xeris Inducement Plan by 1,380,762 shares of Common Stock and (ii) an amendment to the Strongbridge Biopharma plc 2017 Inducement Plan (the “Strongbridge Inducement Plan”) to reduce the number of shares of Common Stock reserved and available for issuance under the Strongbridge Inducement Plan by 1,380,762 shares. This Registration Statement registers these additional 1,380,762 shares of Common Stock. The additional shares are of the same class as other securities relating to the Xeris Inducement Plan for which the Registrant’s registration statement filed on Form S-8 (Registration No. 333-260068) on October 5, 2021, is effective. The information contained in the Registrant’s registration statement on Form S-8 (Registration No. 333-260068) is hereby incorporated by reference pursuant to General Instruction E.</w:t>
      </w:r>
    </w:p>
    <w:p>
      <w:pPr>
        <w:pStyle w:val="TextBody"/>
        <w:bidi w:val="0"/>
        <w:spacing w:before="12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INFORMATION REQUIRED IN THE REGISTRATION STATEMENT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8. Exhibits. </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the Exhibit Index on the following page for a list of exhibits filed as part of this registration statement, which Exhibit Index is incorporated herein by reference.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EXHIBIT INDEX </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88"/>
        <w:gridCol w:w="253"/>
        <w:gridCol w:w="255"/>
        <w:gridCol w:w="109"/>
        <w:gridCol w:w="109"/>
        <w:gridCol w:w="109"/>
        <w:gridCol w:w="2759"/>
        <w:gridCol w:w="2599"/>
        <w:gridCol w:w="3724"/>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372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40" w:before="0" w:after="20"/>
              <w:jc w:val="center"/>
              <w:rPr>
                <w:color w:val="000000"/>
              </w:rPr>
            </w:pPr>
            <w:r>
              <w:rPr>
                <w:color w:val="000000"/>
              </w:rPr>
              <w:t>    </w:t>
            </w:r>
            <w:r>
              <w:rPr>
                <w:rFonts w:ascii="Times New Roman;sans-serif" w:hAnsi="Times New Roman;sans-serif"/>
                <w:b/>
                <w:color w:val="000000"/>
                <w:sz w:val="16"/>
              </w:rPr>
              <w:t>No.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Specimen Stock Certificate Evidencing Shares of Common Stock (Incorporated by reference to Exhibit 4.1 to our Registration Statement on Form S-3 (File No. 333-262404) filed with the Securities and Exchange Commission on January 28, 2022)</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Xeris Pharmaceuticals, Inc. Inducement Equity Plan (Incorporated by reference to Exhibit 99.1 of Xeris Pharmaceuticals, Inc.’s Registration Statement on Form S-8 filed with the SEC on February 8, 2019 (File No. 333-229587))</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43amendmenttoxerispharma.htm">
              <w:r>
                <w:rPr>
                  <w:rStyle w:val="InternetLink"/>
                  <w:rFonts w:ascii="Times New Roman;sans-serif" w:hAnsi="Times New Roman;sans-serif"/>
                  <w:b w:val="false"/>
                  <w:color w:val="0000FF"/>
                  <w:sz w:val="20"/>
                  <w:u w:val="single"/>
                </w:rPr>
                <w:t>Amendment to Xeris Pharmaceuticals, Inc. Inducement Equity Plan</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xeris-sx851opinion2024.htm">
              <w:r>
                <w:rPr>
                  <w:rStyle w:val="InternetLink"/>
                  <w:rFonts w:ascii="Times New Roman;sans-serif" w:hAnsi="Times New Roman;sans-serif"/>
                  <w:b w:val="false"/>
                  <w:color w:val="0000FF"/>
                  <w:sz w:val="20"/>
                  <w:u w:val="single"/>
                </w:rPr>
                <w:t>Opinion of Goodwin Procter LLP</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forms-8exhibit231.htm">
              <w:r>
                <w:rPr>
                  <w:rStyle w:val="InternetLink"/>
                  <w:rFonts w:ascii="Times New Roman;sans-serif" w:hAnsi="Times New Roman;sans-serif"/>
                  <w:b w:val="false"/>
                  <w:color w:val="0000FF"/>
                  <w:sz w:val="20"/>
                  <w:u w:val="single"/>
                </w:rPr>
                <w:t>Consent of Ernst &amp; Young LLP, independent registered public accounting firm</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forms-8exhibit232.htm">
              <w:r>
                <w:rPr>
                  <w:rStyle w:val="InternetLink"/>
                  <w:rFonts w:ascii="Times New Roman;sans-serif" w:hAnsi="Times New Roman;sans-serif"/>
                  <w:b w:val="false"/>
                  <w:color w:val="0000FF"/>
                  <w:sz w:val="20"/>
                  <w:u w:val="single"/>
                </w:rPr>
                <w:t>Consent of KPMG LLP, independent registered public accounting firm</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xeris-sx851opinion2024.htm">
              <w:r>
                <w:rPr>
                  <w:rStyle w:val="InternetLink"/>
                  <w:rFonts w:ascii="Times New Roman;sans-serif" w:hAnsi="Times New Roman;sans-serif"/>
                  <w:b w:val="false"/>
                  <w:color w:val="0000FF"/>
                  <w:sz w:val="20"/>
                  <w:u w:val="single"/>
                </w:rPr>
                <w:t>Consent of Goodwin Procter LLP (included in Exhibit 5.1)</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7490b9d4f646ec926f1b7c2d4cb98c_16">
              <w:r>
                <w:rPr>
                  <w:rStyle w:val="InternetLink"/>
                  <w:rFonts w:ascii="Times New Roman;sans-serif" w:hAnsi="Times New Roman;sans-serif"/>
                  <w:b w:val="false"/>
                  <w:color w:val="0000FF"/>
                  <w:sz w:val="20"/>
                  <w:u w:val="single"/>
                </w:rPr>
                <w:t>Power of attorney (included on signature page).</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7filingfeetable20.htm">
              <w:r>
                <w:rPr>
                  <w:rStyle w:val="InternetLink"/>
                  <w:rFonts w:ascii="Times New Roman;sans-serif" w:hAnsi="Times New Roman;sans-serif"/>
                  <w:b w:val="false"/>
                  <w:color w:val="0000FF"/>
                  <w:sz w:val="20"/>
                  <w:u w:val="single"/>
                </w:rPr>
                <w:t>Filing Fee Table</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tbl>
      <w:tblPr>
        <w:tblW w:w="1707" w:type="dxa"/>
        <w:jc w:val="left"/>
        <w:tblInd w:w="0" w:type="dxa"/>
        <w:tblLayout w:type="fixed"/>
        <w:tblCellMar>
          <w:top w:w="28" w:type="dxa"/>
          <w:left w:w="28" w:type="dxa"/>
          <w:bottom w:w="28" w:type="dxa"/>
          <w:right w:w="28" w:type="dxa"/>
        </w:tblCellMar>
      </w:tblPr>
      <w:tblGrid>
        <w:gridCol w:w="124"/>
        <w:gridCol w:w="109"/>
        <w:gridCol w:w="109"/>
        <w:gridCol w:w="400"/>
        <w:gridCol w:w="400"/>
        <w:gridCol w:w="5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bl>
    <w:p>
      <w:pPr>
        <w:pStyle w:val="TextBody"/>
        <w:bidi w:val="0"/>
        <w:spacing w:before="120" w:after="120"/>
        <w:jc w:val="left"/>
        <w:rPr/>
      </w:pPr>
      <w:r>
        <w:rPr/>
      </w:r>
    </w:p>
    <w:p>
      <w:pPr>
        <w:pStyle w:val="TextBody"/>
        <w:bidi w:val="0"/>
        <w:spacing w:before="120" w:after="12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Chicago, Illinois, on March 6, 2024. </w:t>
      </w:r>
    </w:p>
    <w:p>
      <w:pPr>
        <w:pStyle w:val="TextBody"/>
        <w:bidi w:val="0"/>
        <w:spacing w:lineRule="auto" w:line="240" w:before="0" w:after="0"/>
        <w:jc w:val="left"/>
        <w:rPr>
          <w:color w:val="000000"/>
        </w:rPr>
      </w:pPr>
      <w:r>
        <w:rPr>
          <w:color w:val="000000"/>
        </w:rPr>
        <w:t> </w:t>
      </w:r>
    </w:p>
    <w:tbl>
      <w:tblPr>
        <w:tblW w:w="5569" w:type="dxa"/>
        <w:jc w:val="left"/>
        <w:tblInd w:w="0" w:type="dxa"/>
        <w:tblLayout w:type="fixed"/>
        <w:tblCellMar>
          <w:top w:w="28" w:type="dxa"/>
          <w:left w:w="28" w:type="dxa"/>
          <w:bottom w:w="28" w:type="dxa"/>
          <w:right w:w="28" w:type="dxa"/>
        </w:tblCellMar>
      </w:tblPr>
      <w:tblGrid>
        <w:gridCol w:w="424"/>
        <w:gridCol w:w="372"/>
        <w:gridCol w:w="372"/>
        <w:gridCol w:w="372"/>
        <w:gridCol w:w="372"/>
        <w:gridCol w:w="372"/>
        <w:gridCol w:w="951"/>
        <w:gridCol w:w="951"/>
        <w:gridCol w:w="1383"/>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r>
      <w:tr>
        <w:trPr/>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XERIS BIOPHARMA HOLDINGS, INC.</w:t>
            </w:r>
          </w:p>
        </w:tc>
      </w:tr>
      <w:tr>
        <w:trPr/>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R. Edick</w:t>
            </w:r>
          </w:p>
        </w:tc>
      </w:tr>
      <w:tr>
        <w:trPr/>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R. Edick</w:t>
            </w:r>
          </w:p>
        </w:tc>
      </w:tr>
      <w:tr>
        <w:trPr/>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and Chairman</w:t>
            </w:r>
          </w:p>
        </w:tc>
      </w:tr>
    </w:tbl>
    <w:p>
      <w:pPr>
        <w:pStyle w:val="TextBody"/>
        <w:bidi w:val="0"/>
        <w:spacing w:before="4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480" w:after="283"/>
        <w:jc w:val="center"/>
        <w:rPr>
          <w:rFonts w:ascii="Times New Roman;sans-serif" w:hAnsi="Times New Roman;sans-serif"/>
          <w:b/>
          <w:color w:val="000000"/>
          <w:sz w:val="20"/>
        </w:rPr>
      </w:pPr>
      <w:r>
        <w:rPr>
          <w:rFonts w:ascii="Times New Roman;sans-serif" w:hAnsi="Times New Roman;sans-serif"/>
          <w:b/>
          <w:color w:val="000000"/>
          <w:sz w:val="20"/>
        </w:rPr>
        <w:t xml:space="preserve">POWER OF ATTORNEY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KNOW ALL PERSONS BY THESE PRESENTS, that each person whose signature appears below constitutes and appoints Paul R. Edick and Steven M. Pieper, and each of them, as such person’s true and lawful attorneys-in-fact and agents, with full power of substitution and resubstitution in each of them, for such person and in such person’s name, place and stead, in any and all capacities, to sign for us and in our names in the capacities indicated below the Registration Statement on Form S-8 of Xeris Biopharma Holdings, Inc., and any or all amendments (including post-effective amendments),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connection therewith and about the premises, as fully to all intents and purposes as such person might or could do in person, hereby ratifying and confirming all that said attorneys-in-fact and agents or any of them, or their or such person’s substitute or substitutes, may lawfully do or cause to be done by virtue hereof.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Act of 1933, as amended, this Registration Statement on Form S-8 has been signed by the following persons in the capacities and on the dates indicated. </w:t>
      </w:r>
    </w:p>
    <w:p>
      <w:pPr>
        <w:pStyle w:val="TextBody"/>
        <w:bidi w:val="0"/>
        <w:spacing w:lineRule="auto" w:line="240" w:before="0" w:after="0"/>
        <w:jc w:val="left"/>
        <w:rPr>
          <w:color w:val="000000"/>
        </w:rPr>
      </w:pPr>
      <w:r>
        <w:rPr>
          <w:color w:val="000000"/>
        </w:rPr>
        <w:t> </w:t>
      </w:r>
    </w:p>
    <w:tbl>
      <w:tblPr>
        <w:tblW w:w="8174" w:type="dxa"/>
        <w:jc w:val="left"/>
        <w:tblInd w:w="0" w:type="dxa"/>
        <w:tblLayout w:type="fixed"/>
        <w:tblCellMar>
          <w:top w:w="28" w:type="dxa"/>
          <w:left w:w="28" w:type="dxa"/>
          <w:bottom w:w="28" w:type="dxa"/>
          <w:right w:w="28" w:type="dxa"/>
        </w:tblCellMar>
      </w:tblPr>
      <w:tblGrid>
        <w:gridCol w:w="630"/>
        <w:gridCol w:w="554"/>
        <w:gridCol w:w="556"/>
        <w:gridCol w:w="1692"/>
        <w:gridCol w:w="1692"/>
        <w:gridCol w:w="1715"/>
        <w:gridCol w:w="389"/>
        <w:gridCol w:w="389"/>
        <w:gridCol w:w="557"/>
      </w:tblGrid>
      <w:tr>
        <w:trPr/>
        <w:tc>
          <w:tcPr>
            <w:tcW w:w="63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17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R. Edick</w:t>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Chairman</w:t>
            </w:r>
          </w:p>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2024</w:t>
            </w:r>
          </w:p>
        </w:tc>
      </w:tr>
      <w:tr>
        <w:trPr/>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Paul R. Edick</w:t>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M. Pieper</w:t>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2024</w:t>
            </w:r>
          </w:p>
        </w:tc>
      </w:tr>
      <w:tr>
        <w:trPr/>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Steven M. Pieper</w:t>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B.J. Bormann</w:t>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2024</w:t>
            </w:r>
          </w:p>
        </w:tc>
      </w:tr>
      <w:tr>
        <w:trPr/>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B.J. Bormann</w:t>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Ricki Fairley</w:t>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2024</w:t>
            </w:r>
          </w:p>
        </w:tc>
      </w:tr>
      <w:tr>
        <w:trPr/>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Ricki Fairley</w:t>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Dawn Halkuff</w:t>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2024</w:t>
            </w:r>
          </w:p>
        </w:tc>
      </w:tr>
      <w:tr>
        <w:trPr/>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Dawn Halkuff</w:t>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H. Johnson</w:t>
            </w:r>
          </w:p>
        </w:tc>
        <w:tc>
          <w:tcPr>
            <w:tcW w:w="5099"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2024</w:t>
            </w:r>
          </w:p>
        </w:tc>
      </w:tr>
      <w:tr>
        <w:trPr/>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H. Johnson</w:t>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Garheng Kong</w:t>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2024</w:t>
            </w:r>
          </w:p>
        </w:tc>
      </w:tr>
      <w:tr>
        <w:trPr/>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Garheng Kong</w:t>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Marla Persky</w:t>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2024</w:t>
            </w:r>
          </w:p>
        </w:tc>
      </w:tr>
      <w:tr>
        <w:trPr/>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Marla Persky</w:t>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Schmid</w:t>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2024</w:t>
            </w:r>
          </w:p>
        </w:tc>
      </w:tr>
      <w:tr>
        <w:trPr/>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Schmid</w:t>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Sherman</w:t>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2024</w:t>
            </w:r>
          </w:p>
        </w:tc>
      </w:tr>
      <w:tr>
        <w:trPr/>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Sherman</w:t>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107</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
        <w:jc w:val="right"/>
        <w:rPr/>
      </w:pPr>
      <w:r>
        <w:rPr/>
      </w:r>
    </w:p>
    <w:p>
      <w:pPr>
        <w:pStyle w:val="TextBody"/>
        <w:bidi w:val="0"/>
        <w:spacing w:lineRule="auto" w:line="300" w:before="120" w:after="120"/>
        <w:jc w:val="center"/>
        <w:rPr>
          <w:rFonts w:ascii="Times New Roman;sans-serif" w:hAnsi="Times New Roman;sans-serif"/>
          <w:b/>
          <w:color w:val="000000"/>
          <w:sz w:val="20"/>
        </w:rPr>
      </w:pPr>
      <w:r>
        <w:rPr>
          <w:rFonts w:ascii="Times New Roman;sans-serif" w:hAnsi="Times New Roman;sans-serif"/>
          <w:b/>
          <w:color w:val="000000"/>
          <w:sz w:val="20"/>
        </w:rPr>
        <w:t>Calculation of Filing Fee Table</w:t>
      </w:r>
    </w:p>
    <w:p>
      <w:pPr>
        <w:pStyle w:val="TextBody"/>
        <w:bidi w:val="0"/>
        <w:spacing w:before="120" w:after="120"/>
        <w:jc w:val="center"/>
        <w:rPr/>
      </w:pPr>
      <w:r>
        <w:rPr/>
      </w:r>
    </w:p>
    <w:p>
      <w:pPr>
        <w:pStyle w:val="TextBody"/>
        <w:bidi w:val="0"/>
        <w:spacing w:lineRule="auto" w:line="300" w:before="120" w:after="12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Form S-8</w:t>
      </w:r>
    </w:p>
    <w:p>
      <w:pPr>
        <w:pStyle w:val="TextBody"/>
        <w:bidi w:val="0"/>
        <w:spacing w:lineRule="auto" w:line="300"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(Form Type)</w:t>
      </w:r>
    </w:p>
    <w:p>
      <w:pPr>
        <w:pStyle w:val="TextBody"/>
        <w:bidi w:val="0"/>
        <w:spacing w:lineRule="auto" w:line="300" w:before="120" w:after="12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Xeris Biopharma Holdings, Inc.</w:t>
      </w:r>
    </w:p>
    <w:p>
      <w:pPr>
        <w:pStyle w:val="TextBody"/>
        <w:bidi w:val="0"/>
        <w:spacing w:lineRule="auto" w:line="300"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300"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Table 1: Newly Registered Securities</w:t>
      </w:r>
    </w:p>
    <w:tbl>
      <w:tblPr>
        <w:tblW w:w="10205" w:type="dxa"/>
        <w:jc w:val="center"/>
        <w:tblInd w:w="0" w:type="dxa"/>
        <w:tblLayout w:type="fixed"/>
        <w:tblCellMar>
          <w:top w:w="28" w:type="dxa"/>
          <w:left w:w="28" w:type="dxa"/>
          <w:bottom w:w="28" w:type="dxa"/>
          <w:right w:w="28" w:type="dxa"/>
        </w:tblCellMar>
      </w:tblPr>
      <w:tblGrid>
        <w:gridCol w:w="282"/>
        <w:gridCol w:w="248"/>
        <w:gridCol w:w="249"/>
        <w:gridCol w:w="826"/>
        <w:gridCol w:w="635"/>
        <w:gridCol w:w="637"/>
        <w:gridCol w:w="341"/>
        <w:gridCol w:w="341"/>
        <w:gridCol w:w="343"/>
        <w:gridCol w:w="351"/>
        <w:gridCol w:w="351"/>
        <w:gridCol w:w="353"/>
        <w:gridCol w:w="465"/>
        <w:gridCol w:w="465"/>
        <w:gridCol w:w="467"/>
        <w:gridCol w:w="728"/>
        <w:gridCol w:w="412"/>
        <w:gridCol w:w="414"/>
        <w:gridCol w:w="349"/>
        <w:gridCol w:w="349"/>
        <w:gridCol w:w="353"/>
        <w:gridCol w:w="360"/>
        <w:gridCol w:w="360"/>
        <w:gridCol w:w="526"/>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Calibri;sans-serif" w:hAnsi="Calibri;sans-serif"/>
                <w:b/>
                <w:color w:val="000000"/>
                <w:sz w:val="16"/>
              </w:rPr>
            </w:pPr>
            <w:r>
              <w:rPr>
                <w:rFonts w:ascii="Calibri;sans-serif" w:hAnsi="Calibri;sans-serif"/>
                <w:b/>
                <w:color w:val="000000"/>
                <w:sz w:val="16"/>
              </w:rPr>
              <w:t>Security Type</w:t>
            </w:r>
          </w:p>
        </w:tc>
        <w:tc>
          <w:tcPr>
            <w:tcW w:w="20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Calibri;sans-serif" w:hAnsi="Calibri;sans-serif"/>
                <w:b/>
                <w:color w:val="000000"/>
                <w:sz w:val="16"/>
              </w:rPr>
            </w:pPr>
            <w:r>
              <w:rPr>
                <w:rFonts w:ascii="Calibri;sans-serif" w:hAnsi="Calibri;sans-serif"/>
                <w:b/>
                <w:color w:val="000000"/>
                <w:sz w:val="16"/>
              </w:rPr>
              <w:t>Security Class Title</w:t>
            </w:r>
          </w:p>
        </w:tc>
        <w:tc>
          <w:tcPr>
            <w:tcW w:w="10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Calibri;sans-serif" w:hAnsi="Calibri;sans-serif"/>
                <w:b/>
                <w:color w:val="000000"/>
                <w:sz w:val="16"/>
              </w:rPr>
            </w:pPr>
            <w:r>
              <w:rPr>
                <w:rFonts w:ascii="Calibri;sans-serif" w:hAnsi="Calibri;sans-serif"/>
                <w:b/>
                <w:color w:val="000000"/>
                <w:sz w:val="16"/>
              </w:rPr>
              <w:t>Fee Calculation Rule</w:t>
            </w:r>
          </w:p>
        </w:tc>
        <w:tc>
          <w:tcPr>
            <w:tcW w:w="10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Calibri;sans-serif" w:hAnsi="Calibri;sans-serif"/>
                <w:b/>
                <w:color w:val="000000"/>
                <w:sz w:val="16"/>
              </w:rPr>
            </w:pPr>
            <w:r>
              <w:rPr>
                <w:rFonts w:ascii="Calibri;sans-serif" w:hAnsi="Calibri;sans-serif"/>
                <w:b/>
                <w:color w:val="000000"/>
                <w:sz w:val="16"/>
              </w:rPr>
              <w:t>Amount Registered (1)</w:t>
            </w:r>
          </w:p>
        </w:tc>
        <w:tc>
          <w:tcPr>
            <w:tcW w:w="13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Calibri;sans-serif" w:hAnsi="Calibri;sans-serif"/>
                <w:b/>
                <w:color w:val="000000"/>
                <w:sz w:val="16"/>
              </w:rPr>
            </w:pPr>
            <w:r>
              <w:rPr>
                <w:rFonts w:ascii="Calibri;sans-serif" w:hAnsi="Calibri;sans-serif"/>
                <w:b/>
                <w:color w:val="000000"/>
                <w:sz w:val="16"/>
              </w:rPr>
              <w:t>Proposed Maximum Offering Price Per Share</w:t>
            </w:r>
          </w:p>
        </w:tc>
        <w:tc>
          <w:tcPr>
            <w:tcW w:w="1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Calibri;sans-serif" w:hAnsi="Calibri;sans-serif"/>
                <w:b/>
                <w:color w:val="000000"/>
                <w:sz w:val="16"/>
              </w:rPr>
            </w:pPr>
            <w:r>
              <w:rPr>
                <w:rFonts w:ascii="Calibri;sans-serif" w:hAnsi="Calibri;sans-serif"/>
                <w:b/>
                <w:color w:val="000000"/>
                <w:sz w:val="16"/>
              </w:rPr>
              <w:t>Maximum Aggregate Offering Price</w:t>
            </w:r>
          </w:p>
        </w:tc>
        <w:tc>
          <w:tcPr>
            <w:tcW w:w="1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Calibri;sans-serif" w:hAnsi="Calibri;sans-serif"/>
                <w:b/>
                <w:color w:val="000000"/>
                <w:sz w:val="16"/>
              </w:rPr>
            </w:pPr>
            <w:r>
              <w:rPr>
                <w:rFonts w:ascii="Calibri;sans-serif" w:hAnsi="Calibri;sans-serif"/>
                <w:b/>
                <w:color w:val="000000"/>
                <w:sz w:val="16"/>
              </w:rPr>
              <w:t>Fee Rate</w:t>
            </w:r>
          </w:p>
        </w:tc>
        <w:tc>
          <w:tcPr>
            <w:tcW w:w="124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Calibri;sans-serif" w:hAnsi="Calibri;sans-serif"/>
                <w:b/>
                <w:color w:val="000000"/>
                <w:sz w:val="16"/>
              </w:rPr>
            </w:pPr>
            <w:r>
              <w:rPr>
                <w:rFonts w:ascii="Calibri;sans-serif" w:hAnsi="Calibri;sans-serif"/>
                <w:b/>
                <w:color w:val="000000"/>
                <w:sz w:val="16"/>
              </w:rPr>
              <w:t>Amount of Registration Fee</w:t>
            </w:r>
          </w:p>
        </w:tc>
      </w:tr>
      <w:tr>
        <w:trPr/>
        <w:tc>
          <w:tcPr>
            <w:tcW w:w="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Calibri;sans-serif" w:hAnsi="Calibri;sans-serif"/>
                <w:b w:val="false"/>
                <w:color w:val="000000"/>
                <w:sz w:val="16"/>
              </w:rPr>
            </w:pPr>
            <w:r>
              <w:rPr>
                <w:rFonts w:ascii="Calibri;sans-serif" w:hAnsi="Calibri;sans-serif"/>
                <w:b w:val="false"/>
                <w:color w:val="000000"/>
                <w:sz w:val="16"/>
              </w:rPr>
              <w:t>Equity</w:t>
            </w:r>
          </w:p>
        </w:tc>
        <w:tc>
          <w:tcPr>
            <w:tcW w:w="20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Calibri;sans-serif" w:hAnsi="Calibri;sans-serif"/>
                <w:b w:val="false"/>
                <w:color w:val="000000"/>
                <w:sz w:val="16"/>
              </w:rPr>
            </w:pPr>
            <w:r>
              <w:rPr>
                <w:rFonts w:ascii="Calibri;sans-serif" w:hAnsi="Calibri;sans-serif"/>
                <w:b w:val="false"/>
                <w:color w:val="000000"/>
                <w:sz w:val="16"/>
              </w:rPr>
              <w:t>2018 Stock Option and Incentive Plan Common Stock, $0.0001 par value per share</w:t>
            </w:r>
          </w:p>
        </w:tc>
        <w:tc>
          <w:tcPr>
            <w:tcW w:w="10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Calibri;sans-serif" w:hAnsi="Calibri;sans-serif"/>
                <w:b w:val="false"/>
                <w:color w:val="000000"/>
                <w:sz w:val="16"/>
              </w:rPr>
            </w:pPr>
            <w:r>
              <w:rPr>
                <w:rFonts w:ascii="Calibri;sans-serif" w:hAnsi="Calibri;sans-serif"/>
                <w:b w:val="false"/>
                <w:color w:val="000000"/>
                <w:sz w:val="16"/>
              </w:rPr>
              <w:t>Other (2)</w:t>
            </w:r>
          </w:p>
        </w:tc>
        <w:tc>
          <w:tcPr>
            <w:tcW w:w="10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Calibri;sans-serif" w:hAnsi="Calibri;sans-serif"/>
                <w:b w:val="false"/>
                <w:color w:val="000000"/>
                <w:sz w:val="16"/>
              </w:rPr>
            </w:pPr>
            <w:r>
              <w:rPr>
                <w:rFonts w:ascii="Calibri;sans-serif" w:hAnsi="Calibri;sans-serif"/>
                <w:b w:val="false"/>
                <w:color w:val="000000"/>
                <w:sz w:val="16"/>
              </w:rPr>
              <w:t>5,525,229 (5)</w:t>
            </w:r>
          </w:p>
        </w:tc>
        <w:tc>
          <w:tcPr>
            <w:tcW w:w="13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Calibri;sans-serif" w:hAnsi="Calibri;sans-serif"/>
                <w:b w:val="false"/>
                <w:color w:val="000000"/>
                <w:sz w:val="16"/>
              </w:rPr>
            </w:pPr>
            <w:r>
              <w:rPr>
                <w:rFonts w:ascii="Calibri;sans-serif" w:hAnsi="Calibri;sans-serif"/>
                <w:b w:val="false"/>
                <w:color w:val="000000"/>
                <w:sz w:val="16"/>
              </w:rPr>
              <w:t>$3.17</w:t>
            </w:r>
          </w:p>
        </w:tc>
        <w:tc>
          <w:tcPr>
            <w:tcW w:w="1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Calibri;sans-serif" w:hAnsi="Calibri;sans-serif"/>
                <w:b w:val="false"/>
                <w:color w:val="000000"/>
                <w:sz w:val="16"/>
              </w:rPr>
            </w:pPr>
            <w:r>
              <w:rPr>
                <w:rFonts w:ascii="Calibri;sans-serif" w:hAnsi="Calibri;sans-serif"/>
                <w:b w:val="false"/>
                <w:color w:val="000000"/>
                <w:sz w:val="16"/>
              </w:rPr>
              <w:t>$17,514,976.00</w:t>
            </w:r>
          </w:p>
        </w:tc>
        <w:tc>
          <w:tcPr>
            <w:tcW w:w="1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Calibri;sans-serif" w:hAnsi="Calibri;sans-serif"/>
                <w:b w:val="false"/>
                <w:color w:val="000000"/>
                <w:sz w:val="16"/>
              </w:rPr>
            </w:pPr>
            <w:r>
              <w:rPr>
                <w:rFonts w:ascii="Calibri;sans-serif" w:hAnsi="Calibri;sans-serif"/>
                <w:b w:val="false"/>
                <w:color w:val="000000"/>
                <w:sz w:val="16"/>
              </w:rPr>
              <w:t>$0.00014760</w:t>
            </w:r>
          </w:p>
        </w:tc>
        <w:tc>
          <w:tcPr>
            <w:tcW w:w="124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Calibri;sans-serif" w:hAnsi="Calibri;sans-serif"/>
                <w:b w:val="false"/>
                <w:color w:val="000000"/>
                <w:sz w:val="16"/>
              </w:rPr>
            </w:pPr>
            <w:r>
              <w:rPr>
                <w:rFonts w:ascii="Calibri;sans-serif" w:hAnsi="Calibri;sans-serif"/>
                <w:b w:val="false"/>
                <w:color w:val="000000"/>
                <w:sz w:val="16"/>
              </w:rPr>
              <w:t>$2,585.21</w:t>
            </w:r>
          </w:p>
        </w:tc>
      </w:tr>
      <w:tr>
        <w:trPr/>
        <w:tc>
          <w:tcPr>
            <w:tcW w:w="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Calibri;sans-serif" w:hAnsi="Calibri;sans-serif"/>
                <w:b w:val="false"/>
                <w:color w:val="000000"/>
                <w:sz w:val="16"/>
              </w:rPr>
            </w:pPr>
            <w:r>
              <w:rPr>
                <w:rFonts w:ascii="Calibri;sans-serif" w:hAnsi="Calibri;sans-serif"/>
                <w:b w:val="false"/>
                <w:color w:val="000000"/>
                <w:sz w:val="16"/>
              </w:rPr>
              <w:t>Equity</w:t>
            </w:r>
          </w:p>
        </w:tc>
        <w:tc>
          <w:tcPr>
            <w:tcW w:w="20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Calibri;sans-serif" w:hAnsi="Calibri;sans-serif"/>
                <w:b w:val="false"/>
                <w:color w:val="000000"/>
                <w:sz w:val="16"/>
              </w:rPr>
            </w:pPr>
            <w:r>
              <w:rPr>
                <w:rFonts w:ascii="Calibri;sans-serif" w:hAnsi="Calibri;sans-serif"/>
                <w:b w:val="false"/>
                <w:color w:val="000000"/>
                <w:sz w:val="16"/>
              </w:rPr>
              <w:t>2018 Employee Stock Purchase Plan Common Stock, $0.0001 par value per share</w:t>
            </w:r>
          </w:p>
        </w:tc>
        <w:tc>
          <w:tcPr>
            <w:tcW w:w="10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Calibri;sans-serif" w:hAnsi="Calibri;sans-serif"/>
                <w:b w:val="false"/>
                <w:color w:val="000000"/>
                <w:sz w:val="16"/>
              </w:rPr>
            </w:pPr>
            <w:r>
              <w:rPr>
                <w:rFonts w:ascii="Calibri;sans-serif" w:hAnsi="Calibri;sans-serif"/>
                <w:b w:val="false"/>
                <w:color w:val="000000"/>
                <w:sz w:val="16"/>
              </w:rPr>
              <w:t>Other (3)</w:t>
            </w:r>
          </w:p>
        </w:tc>
        <w:tc>
          <w:tcPr>
            <w:tcW w:w="10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Calibri;sans-serif" w:hAnsi="Calibri;sans-serif"/>
                <w:b w:val="false"/>
                <w:color w:val="000000"/>
                <w:sz w:val="16"/>
              </w:rPr>
            </w:pPr>
            <w:r>
              <w:rPr>
                <w:rFonts w:ascii="Calibri;sans-serif" w:hAnsi="Calibri;sans-serif"/>
                <w:b w:val="false"/>
                <w:color w:val="000000"/>
                <w:sz w:val="16"/>
              </w:rPr>
              <w:t>386,000 (6)</w:t>
            </w:r>
          </w:p>
        </w:tc>
        <w:tc>
          <w:tcPr>
            <w:tcW w:w="13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Calibri;sans-serif" w:hAnsi="Calibri;sans-serif"/>
                <w:b w:val="false"/>
                <w:color w:val="000000"/>
                <w:sz w:val="16"/>
              </w:rPr>
            </w:pPr>
            <w:r>
              <w:rPr>
                <w:rFonts w:ascii="Calibri;sans-serif" w:hAnsi="Calibri;sans-serif"/>
                <w:b w:val="false"/>
                <w:color w:val="000000"/>
                <w:sz w:val="16"/>
              </w:rPr>
              <w:t>$2.69</w:t>
            </w:r>
          </w:p>
        </w:tc>
        <w:tc>
          <w:tcPr>
            <w:tcW w:w="1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Calibri;sans-serif" w:hAnsi="Calibri;sans-serif"/>
                <w:b w:val="false"/>
                <w:color w:val="000000"/>
                <w:sz w:val="16"/>
              </w:rPr>
            </w:pPr>
            <w:r>
              <w:rPr>
                <w:rFonts w:ascii="Calibri;sans-serif" w:hAnsi="Calibri;sans-serif"/>
                <w:b w:val="false"/>
                <w:color w:val="000000"/>
                <w:sz w:val="16"/>
              </w:rPr>
              <w:t>$1,040,077.00</w:t>
            </w:r>
          </w:p>
        </w:tc>
        <w:tc>
          <w:tcPr>
            <w:tcW w:w="1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Calibri;sans-serif" w:hAnsi="Calibri;sans-serif"/>
                <w:b w:val="false"/>
                <w:color w:val="000000"/>
                <w:sz w:val="16"/>
              </w:rPr>
            </w:pPr>
            <w:r>
              <w:rPr>
                <w:rFonts w:ascii="Calibri;sans-serif" w:hAnsi="Calibri;sans-serif"/>
                <w:b w:val="false"/>
                <w:color w:val="000000"/>
                <w:sz w:val="16"/>
              </w:rPr>
              <w:t>$0.00014760</w:t>
            </w:r>
          </w:p>
        </w:tc>
        <w:tc>
          <w:tcPr>
            <w:tcW w:w="124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Calibri;sans-serif" w:hAnsi="Calibri;sans-serif"/>
                <w:b w:val="false"/>
                <w:color w:val="000000"/>
                <w:sz w:val="16"/>
              </w:rPr>
            </w:pPr>
            <w:r>
              <w:rPr>
                <w:rFonts w:ascii="Calibri;sans-serif" w:hAnsi="Calibri;sans-serif"/>
                <w:b w:val="false"/>
                <w:color w:val="000000"/>
                <w:sz w:val="16"/>
              </w:rPr>
              <w:t>$153.52</w:t>
            </w:r>
          </w:p>
        </w:tc>
      </w:tr>
      <w:tr>
        <w:trPr/>
        <w:tc>
          <w:tcPr>
            <w:tcW w:w="7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Calibri;sans-serif" w:hAnsi="Calibri;sans-serif"/>
                <w:b w:val="false"/>
                <w:color w:val="000000"/>
                <w:sz w:val="16"/>
              </w:rPr>
            </w:pPr>
            <w:r>
              <w:rPr>
                <w:rFonts w:ascii="Calibri;sans-serif" w:hAnsi="Calibri;sans-serif"/>
                <w:b w:val="false"/>
                <w:color w:val="000000"/>
                <w:sz w:val="16"/>
              </w:rPr>
              <w:t>Equity</w:t>
            </w:r>
          </w:p>
        </w:tc>
        <w:tc>
          <w:tcPr>
            <w:tcW w:w="209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Calibri;sans-serif" w:hAnsi="Calibri;sans-serif"/>
                <w:b w:val="false"/>
                <w:color w:val="000000"/>
                <w:sz w:val="16"/>
              </w:rPr>
            </w:pPr>
            <w:r>
              <w:rPr>
                <w:rFonts w:ascii="Calibri;sans-serif" w:hAnsi="Calibri;sans-serif"/>
                <w:b w:val="false"/>
                <w:color w:val="000000"/>
                <w:sz w:val="16"/>
              </w:rPr>
              <w:t>Inducement Equity Plan Common Stock, $0.0001 par value per share</w:t>
            </w:r>
          </w:p>
        </w:tc>
        <w:tc>
          <w:tcPr>
            <w:tcW w:w="10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Calibri;sans-serif" w:hAnsi="Calibri;sans-serif"/>
                <w:b w:val="false"/>
                <w:color w:val="000000"/>
                <w:sz w:val="16"/>
              </w:rPr>
            </w:pPr>
            <w:r>
              <w:rPr>
                <w:rFonts w:ascii="Calibri;sans-serif" w:hAnsi="Calibri;sans-serif"/>
                <w:b w:val="false"/>
                <w:color w:val="000000"/>
                <w:sz w:val="16"/>
              </w:rPr>
              <w:t>Other (4)</w:t>
            </w:r>
          </w:p>
        </w:tc>
        <w:tc>
          <w:tcPr>
            <w:tcW w:w="10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Calibri;sans-serif" w:hAnsi="Calibri;sans-serif"/>
                <w:b w:val="false"/>
                <w:color w:val="000000"/>
                <w:sz w:val="16"/>
              </w:rPr>
            </w:pPr>
            <w:r>
              <w:rPr>
                <w:rFonts w:ascii="Calibri;sans-serif" w:hAnsi="Calibri;sans-serif"/>
                <w:b w:val="false"/>
                <w:color w:val="000000"/>
                <w:sz w:val="16"/>
              </w:rPr>
              <w:t>1,380,762</w:t>
            </w:r>
          </w:p>
        </w:tc>
        <w:tc>
          <w:tcPr>
            <w:tcW w:w="13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Calibri;sans-serif" w:hAnsi="Calibri;sans-serif"/>
                <w:b w:val="false"/>
                <w:color w:val="000000"/>
                <w:sz w:val="16"/>
              </w:rPr>
            </w:pPr>
            <w:r>
              <w:rPr>
                <w:rFonts w:ascii="Calibri;sans-serif" w:hAnsi="Calibri;sans-serif"/>
                <w:b w:val="false"/>
                <w:color w:val="000000"/>
                <w:sz w:val="16"/>
              </w:rPr>
              <w:t>$3.17</w:t>
            </w:r>
          </w:p>
        </w:tc>
        <w:tc>
          <w:tcPr>
            <w:tcW w:w="1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Calibri;sans-serif" w:hAnsi="Calibri;sans-serif"/>
                <w:b w:val="false"/>
                <w:color w:val="000000"/>
                <w:sz w:val="16"/>
              </w:rPr>
            </w:pPr>
            <w:r>
              <w:rPr>
                <w:rFonts w:ascii="Calibri;sans-serif" w:hAnsi="Calibri;sans-serif"/>
                <w:b w:val="false"/>
                <w:color w:val="000000"/>
                <w:sz w:val="16"/>
              </w:rPr>
              <w:t>$4,377,016</w:t>
            </w:r>
          </w:p>
        </w:tc>
        <w:tc>
          <w:tcPr>
            <w:tcW w:w="1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Calibri;sans-serif" w:hAnsi="Calibri;sans-serif"/>
                <w:b w:val="false"/>
                <w:color w:val="000000"/>
                <w:sz w:val="16"/>
              </w:rPr>
            </w:pPr>
            <w:r>
              <w:rPr>
                <w:rFonts w:ascii="Calibri;sans-serif" w:hAnsi="Calibri;sans-serif"/>
                <w:b w:val="false"/>
                <w:color w:val="000000"/>
                <w:sz w:val="16"/>
              </w:rPr>
              <w:t>$0.00014760</w:t>
            </w:r>
          </w:p>
        </w:tc>
        <w:tc>
          <w:tcPr>
            <w:tcW w:w="124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Calibri;sans-serif" w:hAnsi="Calibri;sans-serif"/>
                <w:b w:val="false"/>
                <w:color w:val="000000"/>
                <w:sz w:val="16"/>
              </w:rPr>
            </w:pPr>
            <w:r>
              <w:rPr>
                <w:rFonts w:ascii="Calibri;sans-serif" w:hAnsi="Calibri;sans-serif"/>
                <w:b w:val="false"/>
                <w:color w:val="000000"/>
                <w:sz w:val="16"/>
              </w:rPr>
              <w:t>$646.05</w:t>
            </w:r>
          </w:p>
        </w:tc>
      </w:tr>
      <w:tr>
        <w:trPr/>
        <w:tc>
          <w:tcPr>
            <w:tcW w:w="4957"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Calibri;sans-serif" w:hAnsi="Calibri;sans-serif"/>
                <w:b/>
                <w:color w:val="000000"/>
                <w:sz w:val="16"/>
              </w:rPr>
            </w:pPr>
            <w:r>
              <w:rPr>
                <w:rFonts w:ascii="Calibri;sans-serif" w:hAnsi="Calibri;sans-serif"/>
                <w:b/>
                <w:color w:val="000000"/>
                <w:sz w:val="16"/>
              </w:rPr>
              <w:t>Total Offering Amounts</w:t>
            </w:r>
          </w:p>
        </w:tc>
        <w:tc>
          <w:tcPr>
            <w:tcW w:w="139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Calibri;sans-serif" w:hAnsi="Calibri;sans-serif"/>
                <w:b w:val="false"/>
                <w:color w:val="000000"/>
                <w:sz w:val="16"/>
              </w:rPr>
            </w:pPr>
            <w:r>
              <w:rPr>
                <w:rFonts w:ascii="Calibri;sans-serif" w:hAnsi="Calibri;sans-serif"/>
                <w:b w:val="false"/>
                <w:color w:val="000000"/>
                <w:sz w:val="16"/>
              </w:rPr>
              <w:t>$22,932,068</w:t>
            </w:r>
          </w:p>
        </w:tc>
        <w:tc>
          <w:tcPr>
            <w:tcW w:w="10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68" w:before="0" w:after="283"/>
              <w:jc w:val="center"/>
              <w:rPr>
                <w:color w:val="000000"/>
              </w:rPr>
            </w:pPr>
            <w:r>
              <w:rPr>
                <w:color w:val="000000"/>
              </w:rPr>
              <w:t>—</w:t>
            </w:r>
          </w:p>
        </w:tc>
      </w:tr>
      <w:tr>
        <w:trPr/>
        <w:tc>
          <w:tcPr>
            <w:tcW w:w="4957"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Calibri;sans-serif" w:hAnsi="Calibri;sans-serif"/>
                <w:b/>
                <w:color w:val="000000"/>
                <w:sz w:val="16"/>
              </w:rPr>
            </w:pPr>
            <w:r>
              <w:rPr>
                <w:rFonts w:ascii="Calibri;sans-serif" w:hAnsi="Calibri;sans-serif"/>
                <w:b/>
                <w:color w:val="000000"/>
                <w:sz w:val="16"/>
              </w:rPr>
              <w:t>Total Fees Previously Paid</w:t>
            </w:r>
          </w:p>
        </w:tc>
        <w:tc>
          <w:tcPr>
            <w:tcW w:w="139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68" w:before="0" w:after="283"/>
              <w:jc w:val="center"/>
              <w:rPr>
                <w:color w:val="000000"/>
              </w:rPr>
            </w:pPr>
            <w:r>
              <w:rPr>
                <w:color w:val="000000"/>
              </w:rPr>
              <w:t>—</w:t>
            </w:r>
          </w:p>
        </w:tc>
      </w:tr>
      <w:tr>
        <w:trPr/>
        <w:tc>
          <w:tcPr>
            <w:tcW w:w="4957"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Calibri;sans-serif" w:hAnsi="Calibri;sans-serif"/>
                <w:b/>
                <w:color w:val="000000"/>
                <w:sz w:val="16"/>
              </w:rPr>
            </w:pPr>
            <w:r>
              <w:rPr>
                <w:rFonts w:ascii="Calibri;sans-serif" w:hAnsi="Calibri;sans-serif"/>
                <w:b/>
                <w:color w:val="000000"/>
                <w:sz w:val="16"/>
              </w:rPr>
              <w:t>Total Fee Offsets</w:t>
            </w:r>
          </w:p>
        </w:tc>
        <w:tc>
          <w:tcPr>
            <w:tcW w:w="139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68" w:before="0" w:after="283"/>
              <w:jc w:val="center"/>
              <w:rPr>
                <w:color w:val="000000"/>
              </w:rPr>
            </w:pPr>
            <w:r>
              <w:rPr>
                <w:color w:val="000000"/>
              </w:rPr>
              <w:t>—</w:t>
            </w:r>
          </w:p>
        </w:tc>
      </w:tr>
      <w:tr>
        <w:trPr/>
        <w:tc>
          <w:tcPr>
            <w:tcW w:w="4957"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Calibri;sans-serif" w:hAnsi="Calibri;sans-serif"/>
                <w:b/>
                <w:color w:val="000000"/>
                <w:sz w:val="16"/>
              </w:rPr>
            </w:pPr>
            <w:r>
              <w:rPr>
                <w:rFonts w:ascii="Calibri;sans-serif" w:hAnsi="Calibri;sans-serif"/>
                <w:b/>
                <w:color w:val="000000"/>
                <w:sz w:val="16"/>
              </w:rPr>
              <w:t>Net Fee Due</w:t>
            </w:r>
          </w:p>
        </w:tc>
        <w:tc>
          <w:tcPr>
            <w:tcW w:w="139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Calibri;sans-serif" w:hAnsi="Calibri;sans-serif"/>
                <w:b w:val="false"/>
                <w:color w:val="000000"/>
                <w:sz w:val="16"/>
              </w:rPr>
            </w:pPr>
            <w:r>
              <w:rPr>
                <w:rFonts w:ascii="Calibri;sans-serif" w:hAnsi="Calibri;sans-serif"/>
                <w:b w:val="false"/>
                <w:color w:val="000000"/>
                <w:sz w:val="16"/>
              </w:rPr>
              <w:t>$3,385</w:t>
            </w:r>
          </w:p>
        </w:tc>
      </w:tr>
    </w:tbl>
    <w:p>
      <w:pPr>
        <w:pStyle w:val="TextBody"/>
        <w:bidi w:val="0"/>
        <w:spacing w:lineRule="auto" w:line="247" w:before="120" w:after="12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    In accordance with Rule 416 under the Securities Act of 1933, as amended (the “Securities Act”), this registration statement shall be deemed to cover any additional securities that may from time to time be offered or issued to prevent dilution resulting from stock splits, stock dividends or similar transactions effected without the receipt of consideration which results in an increase in the number of the outstanding shares of the registrant’s common stock, $0.0001 par value per share (“Common Stock”).</w:t>
      </w:r>
    </w:p>
    <w:p>
      <w:pPr>
        <w:pStyle w:val="TextBody"/>
        <w:bidi w:val="0"/>
        <w:spacing w:lineRule="auto" w:line="247" w:before="120" w:after="12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    Estimated solely for the purpose of calculating the registration fee pursuant to Rules 457(c) and 457(h) of the Securities Act. The price per share and aggregate offering price are calculated on the basis of $3.17, the average of the high and low price of the registrant’s Common Stock as reported on the Nasdaq Global Market on March 1, 2024.</w:t>
      </w:r>
    </w:p>
    <w:p>
      <w:pPr>
        <w:pStyle w:val="TextBody"/>
        <w:bidi w:val="0"/>
        <w:spacing w:lineRule="auto" w:line="247" w:before="120" w:after="12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    The price of $2.69 per share, which is 85% of the average of the high and low sale prices of the Common Stock of the registrant as quoted on the Nasdaq Global Market on March x, 2024, is set forth solely for purposes of calculating the registration fee pursuant to Rules 457(c) and 457(h) of the Securities Act, and has been used as these shares are without a fixed price. Pursuant to the 2018 Employee Stock Purchase Plan (the “2018 ESPP”), the purchase price of the shares of Common Stock reserved for issuance thereunder will be 85% of the fair market value of a share of Common Stock on the first trading day of the offering period or on the exercise date, whichever is less.</w:t>
      </w:r>
    </w:p>
    <w:p>
      <w:pPr>
        <w:pStyle w:val="TextBody"/>
        <w:bidi w:val="0"/>
        <w:spacing w:lineRule="auto" w:line="300" w:before="120" w:after="12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    Estimated solely for the purpose of calculating the registration fee pursuant to Rules 457(c) and 457(h) of the Securities Act. The price per share and aggregate offering price are calculated on the basis of $3.17, the average of the high and low price of the registrant’s Common Stock as reported on the Nasdaq Global Market on March1, 2024.</w:t>
      </w:r>
    </w:p>
    <w:p>
      <w:pPr>
        <w:pStyle w:val="TextBody"/>
        <w:bidi w:val="0"/>
        <w:spacing w:lineRule="auto" w:line="240" w:before="120" w:after="12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(5)    Consists of 5,525,229 additional shares issuable under the 2018 Stock Option and Incentive Plan (the “2018 Plan”), which represents the automatic annual increase to the number of shares available for issuance under the 2018 Plan, effective as of January 1, 2023. Shares available for issuance under the 2018 Plan were previously registered on registration statement on Form S-8 (File No. 333-260068) filed with the Securities and Exchange Commission (“SEC”) on October 5, 2021.</w:t>
      </w:r>
    </w:p>
    <w:p>
      <w:pPr>
        <w:pStyle w:val="TextBody"/>
        <w:bidi w:val="0"/>
        <w:spacing w:lineRule="auto" w:line="247" w:before="120" w:after="12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(6)    Consists of 386,000 additional shares issuable under the 2018 ESPP, which represents the automatic annual increase to the number of shares available for issuance under the 2018 ESPP effective as of January 1, 2023. Shares available for issuance under the 2018 ESPP were previously registered on registration statement on Form S-8 (File No. 333-260068) filed with the SEC on October 5, 2021.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Exhibit 4.3</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AMENDMENT TO XERIS PHARMACEUTICALS, INC. </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INDUCEMENT EQUITY PLAN</w:t>
      </w:r>
    </w:p>
    <w:p>
      <w:pPr>
        <w:pStyle w:val="TextBody"/>
        <w:bidi w:val="0"/>
        <w:spacing w:before="0" w:after="0"/>
        <w:jc w:val="left"/>
        <w:rPr/>
      </w:pPr>
      <w:r>
        <w:rPr/>
      </w:r>
    </w:p>
    <w:p>
      <w:pPr>
        <w:pStyle w:val="TextBody"/>
        <w:bidi w:val="0"/>
        <w:spacing w:lineRule="auto" w:line="48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A.The Xeris Pharmaceuticals, Inc. Inducement Equity Plan (the “Plan”) is hereby amended by deleting the first sentence of Section 3(a) and substituting therefore the following:</w:t>
      </w:r>
    </w:p>
    <w:p>
      <w:pPr>
        <w:pStyle w:val="TextBody"/>
        <w:bidi w:val="0"/>
        <w:spacing w:lineRule="auto" w:line="268" w:before="0" w:after="0"/>
        <w:jc w:val="left"/>
        <w:rPr>
          <w:color w:val="000000"/>
        </w:rPr>
      </w:pPr>
      <w:r>
        <w:rPr>
          <w:color w:val="000000"/>
        </w:rPr>
        <w:t>“</w:t>
      </w:r>
      <w:r>
        <w:rPr>
          <w:rFonts w:ascii="Times New Roman;sans-serif" w:hAnsi="Times New Roman;sans-serif"/>
          <w:b w:val="false"/>
          <w:color w:val="000000"/>
          <w:sz w:val="24"/>
        </w:rPr>
        <w:t>The maximum number of shares of Stock reserved and available for issuance under the     Plan shall be 1,636,010 shares, subject to adjustment as provided in Section 3(b)”</w:t>
      </w:r>
    </w:p>
    <w:p>
      <w:pPr>
        <w:pStyle w:val="TextBody"/>
        <w:bidi w:val="0"/>
        <w:spacing w:before="0" w:after="0"/>
        <w:ind w:left="0" w:right="0" w:firstLine="720"/>
        <w:jc w:val="left"/>
        <w:rPr/>
      </w:pPr>
      <w:r>
        <w:rPr/>
      </w:r>
    </w:p>
    <w:p>
      <w:pPr>
        <w:pStyle w:val="TextBody"/>
        <w:bidi w:val="0"/>
        <w:spacing w:lineRule="auto" w:line="48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 The effective date of this Amendment shall be February 28, 2024.</w:t>
      </w:r>
    </w:p>
    <w:p>
      <w:pPr>
        <w:pStyle w:val="TextBody"/>
        <w:bidi w:val="0"/>
        <w:spacing w:lineRule="auto" w:line="48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C. Except as amended herein, the Plan is confirmed in all other respects.</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left"/>
        <w:rPr/>
      </w:pPr>
      <w:r>
        <w:rPr>
          <w:color w:val="000000"/>
        </w:rPr>
        <w:t>        </w:t>
      </w:r>
      <w:r>
        <w:rPr>
          <w:rFonts w:ascii="Times New Roman;sans-serif" w:hAnsi="Times New Roman;sans-serif"/>
          <w:b/>
          <w:color w:val="000000"/>
          <w:sz w:val="20"/>
        </w:rPr>
        <w:t>Exhibit 5.1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120" w:after="120"/>
        <w:jc w:val="right"/>
        <w:rPr>
          <w:rFonts w:ascii="Times New Roman;sans-serif" w:hAnsi="Times New Roman;sans-serif"/>
          <w:b w:val="false"/>
          <w:color w:val="000000"/>
          <w:sz w:val="24"/>
        </w:rPr>
      </w:pPr>
      <w:r>
        <w:rPr>
          <w:rFonts w:ascii="Times New Roman;sans-serif" w:hAnsi="Times New Roman;sans-serif"/>
          <w:b w:val="false"/>
          <w:color w:val="000000"/>
          <w:sz w:val="24"/>
        </w:rPr>
        <w:t>March 6, 2024</w:t>
      </w:r>
    </w:p>
    <w:p>
      <w:pPr>
        <w:pStyle w:val="TextBody"/>
        <w:bidi w:val="0"/>
        <w:spacing w:lineRule="auto" w:line="268" w:before="120" w:after="120"/>
        <w:jc w:val="left"/>
        <w:rPr>
          <w:rFonts w:ascii="Times New Roman;sans-serif" w:hAnsi="Times New Roman;sans-serif"/>
          <w:b w:val="false"/>
          <w:color w:val="000000"/>
          <w:sz w:val="24"/>
        </w:rPr>
      </w:pPr>
      <w:r>
        <w:rPr>
          <w:rFonts w:ascii="Times New Roman;sans-serif" w:hAnsi="Times New Roman;sans-serif"/>
          <w:b w:val="false"/>
          <w:color w:val="000000"/>
          <w:sz w:val="24"/>
        </w:rPr>
        <w:t>Xeris Biopharma Holdings, Inc.</w:t>
      </w:r>
    </w:p>
    <w:p>
      <w:pPr>
        <w:pStyle w:val="TextBody"/>
        <w:bidi w:val="0"/>
        <w:spacing w:lineRule="auto" w:line="268" w:before="120" w:after="120"/>
        <w:jc w:val="left"/>
        <w:rPr/>
      </w:pPr>
      <w:r>
        <w:rPr>
          <w:rFonts w:ascii="Times New Roman;sans-serif" w:hAnsi="Times New Roman;sans-serif"/>
          <w:b w:val="false"/>
          <w:color w:val="000000"/>
          <w:sz w:val="24"/>
        </w:rPr>
        <w:t>1375 West Fulton Street,</w:t>
      </w:r>
      <w:r>
        <w:rPr>
          <w:color w:val="000000"/>
        </w:rPr>
        <w:t xml:space="preserve"> </w:t>
      </w:r>
      <w:r>
        <w:rPr>
          <w:rFonts w:ascii="Times New Roman;sans-serif" w:hAnsi="Times New Roman;sans-serif"/>
          <w:b w:val="false"/>
          <w:color w:val="000000"/>
          <w:sz w:val="24"/>
        </w:rPr>
        <w:t>Suite 1300</w:t>
      </w:r>
    </w:p>
    <w:p>
      <w:pPr>
        <w:pStyle w:val="TextBody"/>
        <w:bidi w:val="0"/>
        <w:spacing w:lineRule="auto" w:line="268" w:before="120" w:after="120"/>
        <w:jc w:val="left"/>
        <w:rPr>
          <w:rFonts w:ascii="Times New Roman;sans-serif" w:hAnsi="Times New Roman;sans-serif"/>
          <w:b w:val="false"/>
          <w:color w:val="000000"/>
          <w:sz w:val="24"/>
        </w:rPr>
      </w:pPr>
      <w:r>
        <w:rPr>
          <w:rFonts w:ascii="Times New Roman;sans-serif" w:hAnsi="Times New Roman;sans-serif"/>
          <w:b w:val="false"/>
          <w:color w:val="000000"/>
          <w:sz w:val="24"/>
        </w:rPr>
        <w:t>Chicago IL, 60607</w:t>
      </w:r>
    </w:p>
    <w:p>
      <w:pPr>
        <w:pStyle w:val="TextBody"/>
        <w:bidi w:val="0"/>
        <w:spacing w:before="120" w:after="120"/>
        <w:jc w:val="left"/>
        <w:rPr/>
      </w:pPr>
      <w:r>
        <w:rPr/>
      </w:r>
    </w:p>
    <w:p>
      <w:pPr>
        <w:pStyle w:val="TextBody"/>
        <w:bidi w:val="0"/>
        <w:spacing w:lineRule="auto" w:line="268" w:before="120" w:after="120"/>
        <w:jc w:val="left"/>
        <w:rPr/>
      </w:pPr>
      <w:r>
        <w:rPr>
          <w:rFonts w:ascii="Times New Roman;sans-serif" w:hAnsi="Times New Roman;sans-serif"/>
          <w:b w:val="false"/>
          <w:color w:val="000000"/>
          <w:sz w:val="24"/>
        </w:rPr>
        <w:t xml:space="preserve">Re: </w:t>
      </w:r>
      <w:r>
        <w:rPr>
          <w:rFonts w:ascii="Times New Roman;sans-serif" w:hAnsi="Times New Roman;sans-serif"/>
          <w:b w:val="false"/>
          <w:color w:val="000000"/>
          <w:sz w:val="24"/>
          <w:u w:val="single"/>
        </w:rPr>
        <w:t>Securities Being Registered under Registration Statement on Form S-8</w:t>
      </w:r>
    </w:p>
    <w:p>
      <w:pPr>
        <w:pStyle w:val="TextBody"/>
        <w:bidi w:val="0"/>
        <w:spacing w:lineRule="auto" w:line="268" w:before="120" w:after="120"/>
        <w:jc w:val="left"/>
        <w:rPr>
          <w:rFonts w:ascii="Times New Roman;sans-serif" w:hAnsi="Times New Roman;sans-serif"/>
          <w:b w:val="false"/>
          <w:color w:val="000000"/>
          <w:sz w:val="24"/>
        </w:rPr>
      </w:pPr>
      <w:r>
        <w:rPr>
          <w:rFonts w:ascii="Times New Roman;sans-serif" w:hAnsi="Times New Roman;sans-serif"/>
          <w:b w:val="false"/>
          <w:color w:val="000000"/>
          <w:sz w:val="24"/>
        </w:rPr>
        <w:t>We have acted as counsel to you in connection with your filing of a Registration Statement on Form S-8 (the “Registration Statement”) pursuant to the Securities Act of 1933, as amended (the “Securities Act”), on or about the date hereof relating to an aggregate of 7,291,991 shares (the “Shares”) of Common Stock, $0.0001 par value per share (“Common Stock”), of Xeris Biopharma Holdings, Inc., a Delaware corporation (the “Company”), that may be issued pursuant to the Company’s 2018 Stock Option and Incentive Plan, 2018 Employee Stock Purchase Plan and Inducement Equity Plan (collectively, the “Plans”).</w:t>
      </w:r>
    </w:p>
    <w:p>
      <w:pPr>
        <w:pStyle w:val="TextBody"/>
        <w:bidi w:val="0"/>
        <w:spacing w:lineRule="auto" w:line="268" w:before="120" w:after="120"/>
        <w:jc w:val="left"/>
        <w:rPr>
          <w:rFonts w:ascii="Times New Roman;sans-serif" w:hAnsi="Times New Roman;sans-serif"/>
          <w:b w:val="false"/>
          <w:color w:val="000000"/>
          <w:sz w:val="24"/>
        </w:rPr>
      </w:pPr>
      <w:r>
        <w:rPr>
          <w:rFonts w:ascii="Times New Roman;sans-serif" w:hAnsi="Times New Roman;sans-serif"/>
          <w:b w:val="false"/>
          <w:color w:val="000000"/>
          <w:sz w:val="24"/>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pStyle w:val="TextBody"/>
        <w:bidi w:val="0"/>
        <w:spacing w:lineRule="auto" w:line="268" w:before="120" w:after="120"/>
        <w:jc w:val="left"/>
        <w:rPr>
          <w:rFonts w:ascii="Times New Roman;sans-serif" w:hAnsi="Times New Roman;sans-serif"/>
          <w:b w:val="false"/>
          <w:color w:val="000000"/>
          <w:sz w:val="24"/>
        </w:rPr>
      </w:pPr>
      <w:r>
        <w:rPr>
          <w:rFonts w:ascii="Times New Roman;sans-serif" w:hAnsi="Times New Roman;sans-serif"/>
          <w:b w:val="false"/>
          <w:color w:val="000000"/>
          <w:sz w:val="24"/>
        </w:rPr>
        <w:t>The opinion set forth below is limited to the Delaware General Corporation Law.</w:t>
      </w:r>
    </w:p>
    <w:p>
      <w:pPr>
        <w:pStyle w:val="TextBody"/>
        <w:bidi w:val="0"/>
        <w:spacing w:lineRule="auto" w:line="268" w:before="120" w:after="120"/>
        <w:jc w:val="left"/>
        <w:rPr>
          <w:rFonts w:ascii="Times New Roman;sans-serif" w:hAnsi="Times New Roman;sans-serif"/>
          <w:b w:val="false"/>
          <w:color w:val="000000"/>
          <w:sz w:val="24"/>
        </w:rPr>
      </w:pPr>
      <w:r>
        <w:rPr>
          <w:rFonts w:ascii="Times New Roman;sans-serif" w:hAnsi="Times New Roman;sans-serif"/>
          <w:b w:val="false"/>
          <w:color w:val="000000"/>
          <w:sz w:val="24"/>
        </w:rPr>
        <w:t>For purposes of the opinion set forth below, we have assumed that no event occurs that causes the number of authorized shares of Common Stock available for issuance by the Company to be less than the number of then unissued Shares.</w:t>
      </w:r>
    </w:p>
    <w:p>
      <w:pPr>
        <w:pStyle w:val="TextBody"/>
        <w:bidi w:val="0"/>
        <w:spacing w:lineRule="auto" w:line="268" w:before="120" w:after="1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Based on the foregoing, we are of the opinion that the Shares have been duly authorized and, upon issuance and delivery against payment therefor in accordance with the terms of the Plans, will be validly issued, fully paid and nonassessable. </w:t>
      </w:r>
    </w:p>
    <w:p>
      <w:pPr>
        <w:pStyle w:val="TextBody"/>
        <w:bidi w:val="0"/>
        <w:spacing w:lineRule="auto" w:line="268" w:before="120" w:after="120"/>
        <w:jc w:val="left"/>
        <w:rPr/>
      </w:pPr>
      <w:r>
        <w:rPr>
          <w:rFonts w:ascii="Times New Roman;sans-serif" w:hAnsi="Times New Roman;sans-serif"/>
          <w:b w:val="false"/>
          <w:color w:val="000000"/>
          <w:sz w:val="24"/>
        </w:rPr>
        <w:t xml:space="preserve">This opinion letter and the opinion it contains shall be interpreted in accordance with the Core Opinion Principles as published in 74 </w:t>
      </w:r>
      <w:r>
        <w:rPr>
          <w:rFonts w:ascii="Times New Roman;sans-serif" w:hAnsi="Times New Roman;sans-serif"/>
          <w:b w:val="false"/>
          <w:i/>
          <w:color w:val="000000"/>
          <w:sz w:val="24"/>
        </w:rPr>
        <w:t>Business Lawyer</w:t>
      </w:r>
      <w:r>
        <w:rPr>
          <w:color w:val="000000"/>
        </w:rPr>
        <w:t xml:space="preserve"> </w:t>
      </w:r>
      <w:r>
        <w:rPr>
          <w:rFonts w:ascii="Times New Roman;sans-serif" w:hAnsi="Times New Roman;sans-serif"/>
          <w:b w:val="false"/>
          <w:color w:val="000000"/>
          <w:sz w:val="24"/>
        </w:rPr>
        <w:t>815 (Summer 2019).</w:t>
      </w:r>
    </w:p>
    <w:p>
      <w:pPr>
        <w:pStyle w:val="TextBody"/>
        <w:bidi w:val="0"/>
        <w:spacing w:lineRule="auto" w:line="268" w:before="120" w:after="120"/>
        <w:jc w:val="left"/>
        <w:rPr>
          <w:rFonts w:ascii="Times New Roman;sans-serif" w:hAnsi="Times New Roman;sans-serif"/>
          <w:b w:val="false"/>
          <w:color w:val="000000"/>
          <w:sz w:val="24"/>
        </w:rPr>
      </w:pPr>
      <w:r>
        <w:rPr>
          <w:rFonts w:ascii="Times New Roman;sans-serif" w:hAnsi="Times New Roman;sans-serif"/>
          <w:b w:val="false"/>
          <w:color w:val="000000"/>
          <w:sz w:val="24"/>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pStyle w:val="TextBody"/>
        <w:bidi w:val="0"/>
        <w:spacing w:before="120" w:after="120"/>
        <w:jc w:val="left"/>
        <w:rPr/>
      </w:pPr>
      <w:r>
        <w:rPr/>
      </w:r>
    </w:p>
    <w:p>
      <w:pPr>
        <w:pStyle w:val="TextBody"/>
        <w:bidi w:val="0"/>
        <w:spacing w:before="120" w:after="120"/>
        <w:jc w:val="left"/>
        <w:rPr/>
      </w:pPr>
      <w:r>
        <w:rPr/>
      </w:r>
    </w:p>
    <w:p>
      <w:pPr>
        <w:pStyle w:val="TextBody"/>
        <w:bidi w:val="0"/>
        <w:spacing w:lineRule="auto" w:line="268" w:before="120" w:after="120"/>
        <w:ind w:left="0" w:right="0" w:firstLine="5040"/>
        <w:jc w:val="left"/>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p>
      <w:pPr>
        <w:pStyle w:val="TextBody"/>
        <w:bidi w:val="0"/>
        <w:spacing w:before="120" w:after="120"/>
        <w:jc w:val="left"/>
        <w:rPr/>
      </w:pPr>
      <w:r>
        <w:rPr/>
      </w:r>
    </w:p>
    <w:p>
      <w:pPr>
        <w:pStyle w:val="TextBody"/>
        <w:bidi w:val="0"/>
        <w:spacing w:lineRule="auto" w:line="268" w:before="120" w:after="120"/>
        <w:ind w:left="0" w:right="0" w:firstLine="5040"/>
        <w:jc w:val="left"/>
        <w:rPr/>
      </w:pPr>
      <w:r>
        <w:rPr>
          <w:rFonts w:ascii="Times New Roman;sans-serif" w:hAnsi="Times New Roman;sans-serif"/>
          <w:b w:val="false"/>
          <w:color w:val="000000"/>
          <w:sz w:val="24"/>
        </w:rPr>
        <w:t xml:space="preserve">GOODWIN PROCTER </w:t>
      </w:r>
      <w:r>
        <w:rPr>
          <w:rFonts w:ascii="Times New Roman;sans-serif" w:hAnsi="Times New Roman;sans-serif"/>
          <w:b w:val="false"/>
          <w:color w:val="000000"/>
          <w:sz w:val="18"/>
        </w:rPr>
        <w:t>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68" w:after="283"/>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92" w:after="283"/>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left"/>
        <w:rPr/>
      </w:pPr>
      <w:r>
        <w:rPr/>
      </w:r>
    </w:p>
    <w:p>
      <w:pPr>
        <w:pStyle w:val="TextBody"/>
        <w:bidi w:val="0"/>
        <w:spacing w:before="3" w:after="283"/>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consent to the incorporation by reference in the Registration Statement (Form S-8) pertaining to the Xeris Pharmaceuticals, Inc. 2018 Stock Option and Incentive Plan, Xeris Pharmaceuticals, Inc. 2018 Employee Stock Purchase Plan, and Xeris Pharmaceuticals, Inc. Inducement Equity Plan, as amended, of our reports dated March 6, 2024, with respect to the consolidated financial statements of Xeris Biopharma Holdings, Inc. and the effectiveness of internal control over financial reporting of Xeris Biopharma Holdings, Inc. included in its Annual Report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10-K) for the year ended December 31, 2023, filed with the Securities and Exchange Commission.</w:t>
      </w:r>
    </w:p>
    <w:p>
      <w:pPr>
        <w:pStyle w:val="TextBody"/>
        <w:bidi w:val="0"/>
        <w:spacing w:before="0" w:after="0"/>
        <w:jc w:val="left"/>
        <w:rPr/>
      </w:pPr>
      <w:r>
        <w:rPr/>
      </w:r>
    </w:p>
    <w:p>
      <w:pPr>
        <w:pStyle w:val="TextBody"/>
        <w:bidi w:val="0"/>
        <w:spacing w:lineRule="auto" w:line="240"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lineRule="auto" w:line="240"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Grand Rapids, Michigan</w:t>
      </w:r>
    </w:p>
    <w:p>
      <w:pPr>
        <w:pStyle w:val="TextBody"/>
        <w:bidi w:val="0"/>
        <w:spacing w:lineRule="auto" w:line="240"/>
        <w:jc w:val="left"/>
        <w:rPr>
          <w:rFonts w:ascii="Times New Roman;sans-serif" w:hAnsi="Times New Roman;sans-serif"/>
          <w:b w:val="false"/>
          <w:color w:val="000000"/>
          <w:sz w:val="20"/>
        </w:rPr>
      </w:pPr>
      <w:r>
        <w:rPr>
          <w:rFonts w:ascii="Times New Roman;sans-serif" w:hAnsi="Times New Roman;sans-serif"/>
          <w:b w:val="false"/>
          <w:color w:val="000000"/>
          <w:sz w:val="20"/>
        </w:rPr>
        <w:t>March 6,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68" w:after="283"/>
        <w:jc w:val="right"/>
        <w:rPr>
          <w:rFonts w:ascii="Times New Roman;sans-serif" w:hAnsi="Times New Roman;sans-serif"/>
          <w:b/>
          <w:color w:val="000000"/>
          <w:sz w:val="20"/>
        </w:rPr>
      </w:pPr>
      <w:r>
        <w:rPr>
          <w:rFonts w:ascii="Times New Roman;sans-serif" w:hAnsi="Times New Roman;sans-serif"/>
          <w:b/>
          <w:color w:val="000000"/>
          <w:sz w:val="20"/>
        </w:rPr>
        <w:t>Exhibit 23.2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92" w:after="283"/>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left"/>
        <w:rPr/>
      </w:pPr>
      <w:r>
        <w:rPr/>
      </w:r>
    </w:p>
    <w:p>
      <w:pPr>
        <w:pStyle w:val="TextBody"/>
        <w:bidi w:val="0"/>
        <w:spacing w:before="3" w:after="283"/>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consent to the use of our report dated March 8, 2023, with respect to the consolidated financial statements of Xeris Biopharma Holdings, Inc., incorporated herein by reference.</w:t>
      </w:r>
    </w:p>
    <w:p>
      <w:pPr>
        <w:pStyle w:val="TextBody"/>
        <w:bidi w:val="0"/>
        <w:spacing w:before="0" w:after="0"/>
        <w:jc w:val="left"/>
        <w:rPr/>
      </w:pPr>
      <w:r>
        <w:rPr/>
      </w:r>
    </w:p>
    <w:p>
      <w:pPr>
        <w:pStyle w:val="TextBody"/>
        <w:bidi w:val="0"/>
        <w:spacing w:lineRule="auto" w:line="240"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lineRule="auto" w:line="240"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Chicago, Illinois</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6, 2024</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7096/000162828022001449/exhibit41-sx3universalshelf.htm" TargetMode="External"/><Relationship Id="rId3" Type="http://schemas.openxmlformats.org/officeDocument/2006/relationships/hyperlink" Target="https://www.sec.gov/Archives/edgar/data/1346302/000119312519032355/d723453dex99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2626</Words>
  <Characters>14058</Characters>
  <CharactersWithSpaces>16598</CharactersWithSpaces>
  <Paragraphs>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