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June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XERIS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001-38536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20-3352427</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 N. LaSalle Street, Suite 1810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 60601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1-844-445-5704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234950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200" w:lineRule="exact"/>
        <w:rPr>
          <w:sz w:val="24"/>
          <w:szCs w:val="24"/>
          <w:color w:val="auto"/>
        </w:rPr>
      </w:pPr>
    </w:p>
    <w:p>
      <w:pPr>
        <w:spacing w:after="0" w:line="38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As previously disclosed in the Registration Statement on Form S-1 (File No. 333-225191) (the “Registration Statement”) of Xeris Pharmaceuticals, Inc. (the “Company”), on June 25, 2018 and in connection with the consummation of the Company’s initial public offering (the “IPO”), the Company filed an amended and restated certificate of incorporation (the “Restated Certificate”) with the Secretary of State of the State of Delaware. The Board and the Company’s stockholders previously approved the Restated Certificate to be filed in connection with, and to be effective upon, the consummation of the IPO. The Restated Certificate amends and restates the Company’s existing amended and restated certificate of incorporation in its entirety to, among other things:</w:t>
      </w:r>
    </w:p>
    <w:p>
      <w:pPr>
        <w:spacing w:after="0" w:line="2" w:lineRule="exact"/>
        <w:rPr>
          <w:sz w:val="20"/>
          <w:szCs w:val="20"/>
          <w:color w:val="auto"/>
        </w:rPr>
      </w:pPr>
    </w:p>
    <w:p>
      <w:pPr>
        <w:ind w:right="680" w:firstLine="8"/>
        <w:spacing w:after="0" w:line="290" w:lineRule="auto"/>
        <w:tabs>
          <w:tab w:leader="none" w:pos="215" w:val="left"/>
        </w:tabs>
        <w:numPr>
          <w:ilvl w:val="0"/>
          <w:numId w:val="2"/>
        </w:numPr>
        <w:rPr>
          <w:rFonts w:ascii="Arial" w:cs="Arial" w:eastAsia="Arial" w:hAnsi="Arial"/>
          <w:sz w:val="17"/>
          <w:szCs w:val="17"/>
          <w:color w:val="auto"/>
        </w:rPr>
      </w:pPr>
      <w:r>
        <w:rPr>
          <w:rFonts w:ascii="Arial" w:cs="Arial" w:eastAsia="Arial" w:hAnsi="Arial"/>
          <w:sz w:val="17"/>
          <w:szCs w:val="17"/>
          <w:color w:val="auto"/>
        </w:rPr>
        <w:t>authorize 150,000,000 shares of common stock; (ii) eliminate all references to the previously-existing series of preferred stock; and (iii) authorize 10,000,000 shares of undesignated preferred stock that may be issued from time to time by the Board in one or more series.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description of the Restated Certificate is qualified by reference to the Restated Certificate, a copy of which is attached hereto as Exhibit 3.1 and is incorporated herein by reference.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as previously disclosed in the Registration Statement, on June 25, 2018 and in connection with the consummation of the IPO, the amended and restated by-laws of the Company (the “Amended and Restated By-Laws”), previously approved by the Board and the Company’s stockholders to become effective immediately upon the consummation of the IPO, became effective. The Amended and Restated By-Laws amend and restate the Company’s by-laws in their entirety to, among other things: (i) eliminate the ability of the Company’s stockholders to take action by written consent in lieu of a meeting and call special meetings of stockholders; (ii) establish procedures relating to the presentation of stockholder proposals at stockholder meetings; (iii) establish procedures relating to the nomination of directors; (iv) adopt forum selection clauses with respect to certain causes of action; and (iv) conform to the amended provisions of the Restated Certificate.</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foregoing description of the Amended and Restated By-Laws is qualified by reference to the Amended and Restated By-Laws, a copy of which is attached hereto as Exhibit 3.2 and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4">
        <w:r>
          <w:rPr>
            <w:rFonts w:ascii="Arial" w:cs="Arial" w:eastAsia="Arial" w:hAnsi="Arial"/>
            <w:sz w:val="16"/>
            <w:szCs w:val="16"/>
            <w:u w:val="single" w:color="auto"/>
            <w:color w:val="0000EE"/>
          </w:rPr>
          <w:t>Amended and Restated Certificate of Incorporation of Xeris Pharmaceuticals, Inc.</w:t>
        </w:r>
      </w:hyperlink>
    </w:p>
    <w:p>
      <w:pPr>
        <w:spacing w:after="0" w:line="117"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9">
        <w:r>
          <w:rPr>
            <w:rFonts w:ascii="Arial" w:cs="Arial" w:eastAsia="Arial" w:hAnsi="Arial"/>
            <w:sz w:val="16"/>
            <w:szCs w:val="16"/>
            <w:u w:val="single" w:color="auto"/>
            <w:color w:val="0000EE"/>
          </w:rPr>
          <w:t>Amended and Restated By-Laws of Xeris Pharmaceuticals, Inc.</w:t>
        </w:r>
      </w:hyperlink>
    </w:p>
    <w:p>
      <w:pPr>
        <w:sectPr>
          <w:pgSz w:w="11900" w:h="16838" w:orient="portrait"/>
          <w:cols w:equalWidth="0" w:num="1">
            <w:col w:w="11400"/>
          </w:cols>
          <w:pgMar w:left="240" w:top="270"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Xeris Pharmaceuticals, Inc.</w:t>
      </w:r>
    </w:p>
    <w:p>
      <w:pPr>
        <w:spacing w:after="0" w:line="266"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27, 2018</w:t>
      </w:r>
      <w:r>
        <w:rPr>
          <w:sz w:val="20"/>
          <w:szCs w:val="20"/>
          <w:color w:val="auto"/>
        </w:rPr>
        <w:tab/>
      </w:r>
      <w:r>
        <w:rPr>
          <w:rFonts w:ascii="Arial" w:cs="Arial" w:eastAsia="Arial" w:hAnsi="Arial"/>
          <w:sz w:val="17"/>
          <w:szCs w:val="17"/>
          <w:color w:val="auto"/>
        </w:rPr>
        <w:t>By:  /s/ Paul 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Edick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XERIS PHARMACEUTICALS, INC.</w:t>
      </w:r>
    </w:p>
    <w:p>
      <w:pPr>
        <w:spacing w:after="0" w:line="229"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Xeris Pharmaceuticals, Inc., a corporation organized and existing under the laws of the State of Delaware (the “Corporation”), hereby certifies as follows:</w:t>
      </w:r>
    </w:p>
    <w:p>
      <w:pPr>
        <w:spacing w:after="0" w:line="62" w:lineRule="exact"/>
        <w:rPr>
          <w:sz w:val="20"/>
          <w:szCs w:val="20"/>
          <w:color w:val="auto"/>
        </w:rPr>
      </w:pPr>
    </w:p>
    <w:p>
      <w:pPr>
        <w:ind w:right="340" w:firstLine="464"/>
        <w:spacing w:after="0" w:line="277"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 of the Corporation is Xeris Pharmaceuticals, Inc. The date of the filing of its original Certificate of Incorporation with the Secretary of State of the State of Delaware was July 29, 2005 (the “Original Certificate”).</w:t>
      </w:r>
    </w:p>
    <w:p>
      <w:pPr>
        <w:spacing w:after="0" w:line="62" w:lineRule="exact"/>
        <w:rPr>
          <w:rFonts w:ascii="Arial" w:cs="Arial" w:eastAsia="Arial" w:hAnsi="Arial"/>
          <w:sz w:val="18"/>
          <w:szCs w:val="18"/>
          <w:color w:val="auto"/>
        </w:rPr>
      </w:pPr>
    </w:p>
    <w:p>
      <w:pPr>
        <w:ind w:right="40" w:firstLine="464"/>
        <w:spacing w:after="0" w:line="286" w:lineRule="auto"/>
        <w:tabs>
          <w:tab w:leader="none" w:pos="63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Amended and Restated Certificate of Incorporation (the “Certificate”) amends, restates and integrates the provisions of the Fifth Amended and Restated Certificate of Incorporation that was filed with the Secretary of State of the State of Delaware on May 17, 2017, duly adopted in accordance with the provisions of Sections 228, 242 and 245 of the General Corporation Law of the State of Delaware (the “DGCL”).</w:t>
      </w:r>
    </w:p>
    <w:p>
      <w:pPr>
        <w:spacing w:after="0" w:line="57" w:lineRule="exact"/>
        <w:rPr>
          <w:rFonts w:ascii="Arial" w:cs="Arial" w:eastAsia="Arial" w:hAnsi="Arial"/>
          <w:sz w:val="17"/>
          <w:szCs w:val="17"/>
          <w:color w:val="auto"/>
        </w:rPr>
      </w:pPr>
    </w:p>
    <w:p>
      <w:pPr>
        <w:ind w:left="640" w:hanging="17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text of the Amended and Restated Certificate is hereby amended and restated in its entirety to provide as herein set forth in full.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name of the Corporation is Xeris Pharmaceuticals,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The address of the Corporation’s registered office in the State of Delaware is c/o The Corporation Trust Company, 1209 Orange Street in the City of Wilmington, County of New Castle, 19801. The name of its registered agent at such address is The Corporation Trust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total number of shares of capital stock which the Corporation shall have authority to issue is One Hundred Sixty Million (160,000,000), of which (i) One Hundred Fifty Million (150,000,000) shares shall be a class designated as common stock, par value $0.0001 per share (the “Common Stock”), and (ii) Ten Million (10,000,000) shares shall be a class designated as undesignated preferred stock, par value $0.0001 per share (the “Undesignated Preferred Stock”).</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powers, preferences and rights of, and the qualifications, limitations and restrictions upon, each class or series of stock shall be determined in accordance with, or as set forth below in, this Article IV.</w:t>
      </w:r>
    </w:p>
    <w:p>
      <w:pPr>
        <w:sectPr>
          <w:pgSz w:w="11900" w:h="16838" w:orient="portrait"/>
          <w:cols w:equalWidth="0" w:num="1">
            <w:col w:w="11420"/>
          </w:cols>
          <w:pgMar w:left="240" w:top="12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62" w:lineRule="exact"/>
        <w:rPr>
          <w:sz w:val="20"/>
          <w:szCs w:val="20"/>
          <w:color w:val="auto"/>
        </w:rPr>
      </w:pPr>
    </w:p>
    <w:p>
      <w:pPr>
        <w:ind w:firstLine="464"/>
        <w:spacing w:after="0" w:line="291" w:lineRule="auto"/>
        <w:tabs>
          <w:tab w:leader="none" w:pos="701"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59" w:lineRule="exact"/>
        <w:rPr>
          <w:rFonts w:ascii="Arial" w:cs="Arial" w:eastAsia="Arial" w:hAnsi="Arial"/>
          <w:sz w:val="16"/>
          <w:szCs w:val="16"/>
          <w:color w:val="auto"/>
        </w:rPr>
      </w:pPr>
    </w:p>
    <w:p>
      <w:pPr>
        <w:ind w:firstLine="464"/>
        <w:spacing w:after="0" w:line="308" w:lineRule="auto"/>
        <w:tabs>
          <w:tab w:leader="none" w:pos="711" w:val="left"/>
        </w:tabs>
        <w:numPr>
          <w:ilvl w:val="0"/>
          <w:numId w:val="4"/>
        </w:numPr>
        <w:rPr>
          <w:rFonts w:ascii="Arial" w:cs="Arial" w:eastAsia="Arial" w:hAnsi="Arial"/>
          <w:sz w:val="17"/>
          <w:szCs w:val="17"/>
          <w:color w:val="auto"/>
        </w:rPr>
      </w:pPr>
      <w:r>
        <w:rPr>
          <w:rFonts w:ascii="Arial" w:cs="Arial" w:eastAsia="Arial" w:hAnsi="Arial"/>
          <w:sz w:val="17"/>
          <w:szCs w:val="17"/>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38" w:lineRule="exact"/>
        <w:rPr>
          <w:rFonts w:ascii="Arial" w:cs="Arial" w:eastAsia="Arial" w:hAnsi="Arial"/>
          <w:sz w:val="17"/>
          <w:szCs w:val="17"/>
          <w:color w:val="auto"/>
        </w:rPr>
      </w:pPr>
    </w:p>
    <w:p>
      <w:pPr>
        <w:ind w:right="20" w:firstLine="464"/>
        <w:spacing w:after="0" w:line="277" w:lineRule="auto"/>
        <w:tabs>
          <w:tab w:leader="none" w:pos="701"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the voluntary or involuntary liquidation, dissolution or winding up of the Corporation, the net assets of the Corporation shall be distributed pro rata to the holders of the Common Stock.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UNDESIGNATED PREFERRED STOCK</w:t>
      </w:r>
    </w:p>
    <w:p>
      <w:pPr>
        <w:spacing w:after="0" w:line="22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STOCKHOLDER ACTION</w:t>
      </w:r>
    </w:p>
    <w:p>
      <w:pPr>
        <w:spacing w:after="0" w:line="225" w:lineRule="exact"/>
        <w:rPr>
          <w:sz w:val="20"/>
          <w:szCs w:val="20"/>
          <w:color w:val="auto"/>
        </w:rPr>
      </w:pPr>
    </w:p>
    <w:p>
      <w:pPr>
        <w:ind w:right="280" w:firstLine="464"/>
        <w:spacing w:after="0" w:line="276" w:lineRule="auto"/>
        <w:tabs>
          <w:tab w:leader="none" w:pos="636"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Action without Meeting</w:t>
      </w:r>
      <w:r>
        <w:rPr>
          <w:rFonts w:ascii="Arial" w:cs="Arial" w:eastAsia="Arial" w:hAnsi="Arial"/>
          <w:sz w:val="17"/>
          <w:szCs w:val="17"/>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64" w:lineRule="exact"/>
        <w:rPr>
          <w:rFonts w:ascii="Arial" w:cs="Arial" w:eastAsia="Arial" w:hAnsi="Arial"/>
          <w:sz w:val="17"/>
          <w:szCs w:val="17"/>
          <w:color w:val="auto"/>
        </w:rPr>
      </w:pPr>
    </w:p>
    <w:p>
      <w:pPr>
        <w:ind w:right="180" w:firstLine="464"/>
        <w:spacing w:after="0" w:line="302" w:lineRule="auto"/>
        <w:tabs>
          <w:tab w:leader="none" w:pos="636"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ectPr>
          <w:pgSz w:w="11900" w:h="16838" w:orient="portrait"/>
          <w:cols w:equalWidth="0" w:num="1">
            <w:col w:w="11400"/>
          </w:cols>
          <w:pgMar w:left="240" w:top="274"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560" w:firstLine="464"/>
        <w:spacing w:after="0" w:line="277"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Election of Directors need not be by written ballot unless the By-laws of the Corporation (the “By-laws”) shall so provide.</w:t>
      </w:r>
    </w:p>
    <w:p>
      <w:pPr>
        <w:spacing w:after="0" w:line="128" w:lineRule="exact"/>
        <w:rPr>
          <w:rFonts w:ascii="Arial" w:cs="Arial" w:eastAsia="Arial" w:hAnsi="Arial"/>
          <w:sz w:val="17"/>
          <w:szCs w:val="17"/>
          <w:color w:val="auto"/>
        </w:rPr>
      </w:pPr>
    </w:p>
    <w:p>
      <w:pPr>
        <w:ind w:firstLine="464"/>
        <w:spacing w:after="0" w:line="270" w:lineRule="auto"/>
        <w:tabs>
          <w:tab w:leader="none" w:pos="63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Number of Directors; Term of Office</w:t>
      </w:r>
      <w:r>
        <w:rPr>
          <w:rFonts w:ascii="Arial" w:cs="Arial" w:eastAsia="Arial" w:hAnsi="Arial"/>
          <w:sz w:val="17"/>
          <w:szCs w:val="17"/>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Jonathan Rigby and BJ Bormann-Kennedy; the initial Class II Directors of the Corporation shall be Jeffrey Sherman and Dawn Halkuff; and the initial Class III Directors of the Corporation shall be Paul Edick, John Schmid and Marla Persky. The initial Class I Directors shall serve for a term expiring at the annual meeting of stockholders to be held in 2019, the initial Class II Directors shall serve for a term expiring at the annual meeting of stockholders to be held in 2020, and the initial Class III Directors shall serve for a term expiring at the annual meeting of stockholders to be held in 2021.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7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73" w:lineRule="exact"/>
        <w:rPr>
          <w:sz w:val="20"/>
          <w:szCs w:val="20"/>
          <w:color w:val="auto"/>
        </w:rPr>
      </w:pPr>
    </w:p>
    <w:p>
      <w:pPr>
        <w:ind w:firstLine="464"/>
        <w:spacing w:after="0" w:line="269" w:lineRule="auto"/>
        <w:tabs>
          <w:tab w:leader="none" w:pos="636"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74" w:lineRule="exact"/>
        <w:rPr>
          <w:rFonts w:ascii="Arial" w:cs="Arial" w:eastAsia="Arial" w:hAnsi="Arial"/>
          <w:sz w:val="17"/>
          <w:szCs w:val="17"/>
          <w:color w:val="auto"/>
        </w:rPr>
      </w:pPr>
    </w:p>
    <w:p>
      <w:pPr>
        <w:ind w:firstLine="464"/>
        <w:spacing w:after="0" w:line="255" w:lineRule="auto"/>
        <w:tabs>
          <w:tab w:leader="none" w:pos="63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ectPr>
          <w:pgSz w:w="11900" w:h="16838" w:orient="portrait"/>
          <w:cols w:equalWidth="0" w:num="1">
            <w:col w:w="11400"/>
          </w:cols>
          <w:pgMar w:left="240" w:top="274"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LIMITATION OF LIABILITY</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93"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4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BY-LAWS</w:t>
      </w:r>
    </w:p>
    <w:p>
      <w:pPr>
        <w:spacing w:after="0" w:line="225" w:lineRule="exact"/>
        <w:rPr>
          <w:sz w:val="20"/>
          <w:szCs w:val="20"/>
          <w:color w:val="auto"/>
        </w:rPr>
      </w:pPr>
    </w:p>
    <w:p>
      <w:pPr>
        <w:ind w:right="600" w:firstLine="464"/>
        <w:spacing w:after="0" w:line="277"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62" w:lineRule="exact"/>
        <w:rPr>
          <w:rFonts w:ascii="Arial" w:cs="Arial" w:eastAsia="Arial" w:hAnsi="Arial"/>
          <w:sz w:val="18"/>
          <w:szCs w:val="18"/>
          <w:color w:val="auto"/>
        </w:rPr>
      </w:pPr>
    </w:p>
    <w:p>
      <w:pPr>
        <w:ind w:right="140" w:firstLine="464"/>
        <w:spacing w:after="0" w:line="264"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provided therein, the By-laws of the Corporation may be amended or repealed at any annual meeting of stockholders, or special meeting of stockholders called for such purpose, by the affirmative vote of a majority of the outstanding shares of capital stock entitled to vote on such amendment or repeal, voting together as a single class.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EXCLUSIVE JURISDICTION OF DELAWARE COURTS OR THE UNITED STATES DISTRICT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COURT FOR THE NORTHERN DISTRICT OF ILLINOIS.</w:t>
      </w:r>
    </w:p>
    <w:p>
      <w:pPr>
        <w:spacing w:after="0" w:line="21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Unless the Corporation consents in writing to the selection of an alternative forum, the United States District Court for the Northern District of Illinois shall be the sole and exclusive forum for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Article X.</w:t>
      </w:r>
    </w:p>
    <w:p>
      <w:pPr>
        <w:spacing w:after="0" w:line="18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X.</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Text]</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AMENDED AND RESTATED CERTIFICATE OF INCORPORATION is executed as of this 25</w:t>
      </w:r>
      <w:r>
        <w:rPr>
          <w:rFonts w:ascii="Arial" w:cs="Arial" w:eastAsia="Arial" w:hAnsi="Arial"/>
          <w:sz w:val="14"/>
          <w:szCs w:val="14"/>
          <w:color w:val="auto"/>
        </w:rPr>
        <w:t>th</w:t>
      </w:r>
      <w:r>
        <w:rPr>
          <w:rFonts w:ascii="Arial" w:cs="Arial" w:eastAsia="Arial" w:hAnsi="Arial"/>
          <w:sz w:val="17"/>
          <w:szCs w:val="17"/>
          <w:color w:val="auto"/>
        </w:rPr>
        <w:t xml:space="preserve"> day of June, 2018.</w:t>
      </w:r>
    </w:p>
    <w:p>
      <w:pPr>
        <w:spacing w:after="0" w:line="26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XERIS PHARMACEUTICALS, INC.</w:t>
      </w:r>
    </w:p>
    <w:p>
      <w:pPr>
        <w:spacing w:after="0" w:line="26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Paul 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-10160</wp:posOffset>
            </wp:positionV>
            <wp:extent cx="20351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35175" cy="8890"/>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Paul Edick</w:t>
      </w:r>
    </w:p>
    <w:p>
      <w:pPr>
        <w:spacing w:after="0" w:line="9" w:lineRule="exact"/>
        <w:rPr>
          <w:sz w:val="20"/>
          <w:szCs w:val="20"/>
          <w:color w:val="auto"/>
        </w:rPr>
      </w:pPr>
    </w:p>
    <w:p>
      <w:pPr>
        <w:jc w:val="right"/>
        <w:ind w:right="199"/>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9299"/>
          </w:cols>
          <w:pgMar w:left="1160" w:top="274"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XERIS PHARMACEUTICALS,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(any such meeting being referred to in these By-laws as an “Annual Meeting”)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53" w:lineRule="auto"/>
        <w:tabs>
          <w:tab w:leader="none" w:pos="1153" w:val="left"/>
        </w:tabs>
        <w:numPr>
          <w:ilvl w:val="1"/>
          <w:numId w:val="9"/>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ectPr>
          <w:pgSz w:w="11900" w:h="16838" w:orient="portrait"/>
          <w:cols w:equalWidth="0" w:num="1">
            <w:col w:w="11420"/>
          </w:cols>
          <w:pgMar w:left="240" w:top="121" w:right="239" w:bottom="1440" w:gutter="0" w:footer="0" w:header="0"/>
        </w:sectPr>
      </w:pPr>
    </w:p>
    <w:bookmarkStart w:id="9" w:name="page10"/>
    <w:bookmarkEnd w:id="9"/>
    <w:p>
      <w:pPr>
        <w:ind w:firstLine="443"/>
        <w:spacing w:after="0" w:line="268" w:lineRule="auto"/>
        <w:tabs>
          <w:tab w:leader="none" w:pos="693"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72" w:lineRule="exact"/>
        <w:rPr>
          <w:rFonts w:ascii="Arial" w:cs="Arial" w:eastAsia="Arial" w:hAnsi="Arial"/>
          <w:sz w:val="17"/>
          <w:szCs w:val="17"/>
          <w:color w:val="auto"/>
        </w:rPr>
      </w:pPr>
    </w:p>
    <w:p>
      <w:pPr>
        <w:ind w:left="460" w:firstLine="421"/>
        <w:spacing w:after="0" w:line="286" w:lineRule="auto"/>
        <w:tabs>
          <w:tab w:leader="none" w:pos="1175" w:val="left"/>
        </w:tabs>
        <w:numPr>
          <w:ilvl w:val="1"/>
          <w:numId w:val="10"/>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4" w:right="239" w:bottom="1440" w:gutter="0" w:footer="0" w:header="0"/>
        </w:sectPr>
      </w:pPr>
    </w:p>
    <w:bookmarkStart w:id="10" w:name="page11"/>
    <w:bookmarkEnd w:id="10"/>
    <w:p>
      <w:pPr>
        <w:ind w:left="-1" w:right="280" w:firstLine="421"/>
        <w:spacing w:after="0" w:line="286" w:lineRule="auto"/>
        <w:tabs>
          <w:tab w:leader="none" w:pos="704" w:val="left"/>
        </w:tabs>
        <w:numPr>
          <w:ilvl w:val="1"/>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57" w:lineRule="exact"/>
        <w:rPr>
          <w:rFonts w:ascii="Arial" w:cs="Arial" w:eastAsia="Arial" w:hAnsi="Arial"/>
          <w:sz w:val="17"/>
          <w:szCs w:val="17"/>
          <w:color w:val="auto"/>
        </w:rPr>
      </w:pPr>
    </w:p>
    <w:p>
      <w:pPr>
        <w:ind w:left="-1" w:right="20" w:firstLine="421"/>
        <w:spacing w:after="0" w:line="283" w:lineRule="auto"/>
        <w:tabs>
          <w:tab w:leader="none" w:pos="704" w:val="left"/>
        </w:tabs>
        <w:numPr>
          <w:ilvl w:val="1"/>
          <w:numId w:val="11"/>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w:t>
      </w:r>
    </w:p>
    <w:p>
      <w:pPr>
        <w:spacing w:after="0" w:line="5" w:lineRule="exact"/>
        <w:rPr>
          <w:rFonts w:ascii="Arial" w:cs="Arial" w:eastAsia="Arial" w:hAnsi="Arial"/>
          <w:sz w:val="16"/>
          <w:szCs w:val="16"/>
          <w:color w:val="auto"/>
        </w:rPr>
      </w:pPr>
    </w:p>
    <w:p>
      <w:pPr>
        <w:ind w:left="-1" w:firstLine="1"/>
        <w:spacing w:after="0" w:line="281" w:lineRule="auto"/>
        <w:tabs>
          <w:tab w:leader="none" w:pos="24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w:t>
      </w:r>
    </w:p>
    <w:p>
      <w:pPr>
        <w:spacing w:after="0" w:line="6" w:lineRule="exact"/>
        <w:rPr>
          <w:rFonts w:ascii="Arial" w:cs="Arial" w:eastAsia="Arial" w:hAnsi="Arial"/>
          <w:sz w:val="16"/>
          <w:szCs w:val="16"/>
          <w:color w:val="auto"/>
        </w:rPr>
      </w:pPr>
    </w:p>
    <w:p>
      <w:pPr>
        <w:ind w:left="-1" w:right="380" w:firstLine="1"/>
        <w:spacing w:after="0" w:line="255" w:lineRule="auto"/>
        <w:tabs>
          <w:tab w:leader="none" w:pos="3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23" w:lineRule="exact"/>
        <w:rPr>
          <w:sz w:val="20"/>
          <w:szCs w:val="20"/>
          <w:color w:val="auto"/>
        </w:rPr>
      </w:pPr>
    </w:p>
    <w:p>
      <w:pPr>
        <w:ind w:left="47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79"/>
          </w:cols>
          <w:pgMar w:left="1161" w:top="274" w:right="259" w:bottom="1440" w:gutter="0" w:footer="0" w:header="0"/>
        </w:sectPr>
      </w:pPr>
    </w:p>
    <w:bookmarkStart w:id="11" w:name="page12"/>
    <w:bookmarkEnd w:id="11"/>
    <w:p>
      <w:pPr>
        <w:ind w:left="460" w:firstLine="421"/>
        <w:spacing w:after="0" w:line="293" w:lineRule="auto"/>
        <w:tabs>
          <w:tab w:leader="none" w:pos="1175" w:val="left"/>
        </w:tabs>
        <w:numPr>
          <w:ilvl w:val="0"/>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56" w:lineRule="exact"/>
        <w:rPr>
          <w:rFonts w:ascii="Arial" w:cs="Arial" w:eastAsia="Arial" w:hAnsi="Arial"/>
          <w:sz w:val="16"/>
          <w:szCs w:val="16"/>
          <w:color w:val="auto"/>
        </w:rPr>
      </w:pPr>
    </w:p>
    <w:p>
      <w:pPr>
        <w:ind w:left="460" w:right="60" w:firstLine="421"/>
        <w:spacing w:after="0" w:line="297" w:lineRule="auto"/>
        <w:tabs>
          <w:tab w:leader="none" w:pos="11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50" w:lineRule="exact"/>
        <w:rPr>
          <w:sz w:val="20"/>
          <w:szCs w:val="20"/>
          <w:color w:val="auto"/>
        </w:rPr>
      </w:pPr>
    </w:p>
    <w:p>
      <w:pPr>
        <w:ind w:right="20" w:firstLine="438"/>
        <w:spacing w:after="0" w:line="287" w:lineRule="auto"/>
        <w:rPr>
          <w:sz w:val="20"/>
          <w:szCs w:val="20"/>
          <w:color w:val="auto"/>
        </w:rPr>
      </w:pPr>
      <w:r>
        <w:rPr>
          <w:rFonts w:ascii="Arial" w:cs="Arial" w:eastAsia="Arial" w:hAnsi="Arial"/>
          <w:sz w:val="16"/>
          <w:szCs w:val="16"/>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12" w:name="page13"/>
    <w:bookmarkEnd w:id="12"/>
    <w:p>
      <w:pPr>
        <w:ind w:firstLine="443"/>
        <w:spacing w:after="0" w:line="288" w:lineRule="auto"/>
        <w:tabs>
          <w:tab w:leader="none" w:pos="693" w:val="left"/>
        </w:tabs>
        <w:numPr>
          <w:ilvl w:val="1"/>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w:t>
      </w:r>
    </w:p>
    <w:p>
      <w:pPr>
        <w:ind w:right="140" w:firstLine="4"/>
        <w:spacing w:after="0" w:line="295" w:lineRule="auto"/>
        <w:tabs>
          <w:tab w:leader="none" w:pos="3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53" w:lineRule="exact"/>
        <w:rPr>
          <w:rFonts w:ascii="Arial" w:cs="Arial" w:eastAsia="Arial" w:hAnsi="Arial"/>
          <w:sz w:val="16"/>
          <w:szCs w:val="16"/>
          <w:color w:val="auto"/>
        </w:rPr>
      </w:pPr>
    </w:p>
    <w:p>
      <w:pPr>
        <w:ind w:right="60" w:firstLine="443"/>
        <w:spacing w:after="0" w:line="255" w:lineRule="auto"/>
        <w:tabs>
          <w:tab w:leader="none" w:pos="693"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89" w:lineRule="exact"/>
        <w:rPr>
          <w:sz w:val="20"/>
          <w:szCs w:val="20"/>
          <w:color w:val="auto"/>
        </w:rPr>
      </w:pPr>
    </w:p>
    <w:p>
      <w:pPr>
        <w:ind w:left="260" w:hanging="256"/>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43"/>
        <w:spacing w:after="0" w:line="289" w:lineRule="auto"/>
        <w:tabs>
          <w:tab w:leader="none" w:pos="693" w:val="left"/>
        </w:tabs>
        <w:numPr>
          <w:ilvl w:val="1"/>
          <w:numId w:val="17"/>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13" w:name="page14"/>
    <w:bookmarkEnd w:id="13"/>
    <w:p>
      <w:pPr>
        <w:jc w:val="both"/>
        <w:ind w:left="460" w:right="60" w:firstLine="443"/>
        <w:spacing w:after="0" w:line="264"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73" w:lineRule="exact"/>
        <w:rPr>
          <w:rFonts w:ascii="Arial" w:cs="Arial" w:eastAsia="Arial" w:hAnsi="Arial"/>
          <w:sz w:val="18"/>
          <w:szCs w:val="18"/>
          <w:color w:val="auto"/>
        </w:rPr>
      </w:pPr>
    </w:p>
    <w:p>
      <w:pPr>
        <w:ind w:left="460" w:firstLine="443"/>
        <w:spacing w:after="0" w:line="272" w:lineRule="auto"/>
        <w:tabs>
          <w:tab w:leader="none" w:pos="1153" w:val="left"/>
        </w:tabs>
        <w:numPr>
          <w:ilvl w:val="1"/>
          <w:numId w:val="18"/>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69" w:lineRule="exact"/>
        <w:rPr>
          <w:rFonts w:ascii="Arial" w:cs="Arial" w:eastAsia="Arial" w:hAnsi="Arial"/>
          <w:sz w:val="17"/>
          <w:szCs w:val="17"/>
          <w:color w:val="auto"/>
        </w:rPr>
      </w:pPr>
    </w:p>
    <w:p>
      <w:pPr>
        <w:ind w:left="460" w:right="520" w:firstLine="443"/>
        <w:spacing w:after="0" w:line="264" w:lineRule="auto"/>
        <w:tabs>
          <w:tab w:leader="none" w:pos="1153" w:val="left"/>
        </w:tabs>
        <w:numPr>
          <w:ilvl w:val="1"/>
          <w:numId w:val="18"/>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73" w:lineRule="exact"/>
        <w:rPr>
          <w:rFonts w:ascii="Arial" w:cs="Arial" w:eastAsia="Arial" w:hAnsi="Arial"/>
          <w:sz w:val="18"/>
          <w:szCs w:val="18"/>
          <w:color w:val="auto"/>
        </w:rPr>
      </w:pPr>
    </w:p>
    <w:p>
      <w:pPr>
        <w:jc w:val="both"/>
        <w:ind w:left="460" w:right="60" w:firstLine="443"/>
        <w:spacing w:after="0" w:line="276" w:lineRule="auto"/>
        <w:tabs>
          <w:tab w:leader="none" w:pos="1153" w:val="left"/>
        </w:tabs>
        <w:numPr>
          <w:ilvl w:val="1"/>
          <w:numId w:val="18"/>
        </w:numPr>
        <w:rPr>
          <w:rFonts w:ascii="Arial" w:cs="Arial" w:eastAsia="Arial" w:hAnsi="Arial"/>
          <w:sz w:val="17"/>
          <w:szCs w:val="17"/>
          <w:color w:val="auto"/>
        </w:rPr>
      </w:pPr>
      <w:r>
        <w:rPr>
          <w:rFonts w:ascii="Arial" w:cs="Arial" w:eastAsia="Arial" w:hAnsi="Arial"/>
          <w:sz w:val="17"/>
          <w:szCs w:val="17"/>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64" w:lineRule="exact"/>
        <w:rPr>
          <w:rFonts w:ascii="Arial" w:cs="Arial" w:eastAsia="Arial" w:hAnsi="Arial"/>
          <w:sz w:val="17"/>
          <w:szCs w:val="17"/>
          <w:color w:val="auto"/>
        </w:rPr>
      </w:pPr>
    </w:p>
    <w:p>
      <w:pPr>
        <w:ind w:firstLine="464"/>
        <w:spacing w:after="0" w:line="276" w:lineRule="auto"/>
        <w:tabs>
          <w:tab w:leader="none" w:pos="701"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I, Section 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7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4" w:name="page15"/>
    <w:bookmarkEnd w:id="1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I, Section 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Notice of Meetings; Adjournments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73" w:lineRule="auto"/>
        <w:tabs>
          <w:tab w:leader="none" w:pos="701"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(“DGCL”).</w:t>
      </w:r>
    </w:p>
    <w:p>
      <w:pPr>
        <w:spacing w:after="0" w:line="70" w:lineRule="exact"/>
        <w:rPr>
          <w:rFonts w:ascii="Arial" w:cs="Arial" w:eastAsia="Arial" w:hAnsi="Arial"/>
          <w:sz w:val="17"/>
          <w:szCs w:val="17"/>
          <w:color w:val="auto"/>
        </w:rPr>
      </w:pPr>
    </w:p>
    <w:p>
      <w:pPr>
        <w:ind w:right="240" w:firstLine="464"/>
        <w:spacing w:after="0" w:line="308" w:lineRule="auto"/>
        <w:tabs>
          <w:tab w:leader="none" w:pos="7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38" w:lineRule="exact"/>
        <w:rPr>
          <w:rFonts w:ascii="Arial" w:cs="Arial" w:eastAsia="Arial" w:hAnsi="Arial"/>
          <w:sz w:val="17"/>
          <w:szCs w:val="17"/>
          <w:color w:val="auto"/>
        </w:rPr>
      </w:pPr>
    </w:p>
    <w:p>
      <w:pPr>
        <w:ind w:right="240" w:firstLine="464"/>
        <w:spacing w:after="0" w:line="259" w:lineRule="auto"/>
        <w:tabs>
          <w:tab w:leader="none" w:pos="701"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78" w:lineRule="exact"/>
        <w:rPr>
          <w:rFonts w:ascii="Arial" w:cs="Arial" w:eastAsia="Arial" w:hAnsi="Arial"/>
          <w:sz w:val="18"/>
          <w:szCs w:val="18"/>
          <w:color w:val="auto"/>
        </w:rPr>
      </w:pPr>
    </w:p>
    <w:p>
      <w:pPr>
        <w:jc w:val="both"/>
        <w:ind w:right="20" w:firstLine="464"/>
        <w:spacing w:after="0" w:line="302" w:lineRule="auto"/>
        <w:tabs>
          <w:tab w:leader="none" w:pos="7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5" w:name="page16"/>
    <w:bookmarkEnd w:id="15"/>
    <w:p>
      <w:pPr>
        <w:ind w:right="20" w:firstLine="464"/>
        <w:spacing w:after="0" w:line="269" w:lineRule="auto"/>
        <w:tabs>
          <w:tab w:leader="none" w:pos="701"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Voting and Proxies</w:t>
      </w:r>
      <w:r>
        <w:rPr>
          <w:rFonts w:ascii="Arial" w:cs="Arial" w:eastAsia="Arial" w:hAnsi="Arial"/>
          <w:sz w:val="17"/>
          <w:szCs w:val="17"/>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6" w:name="page17"/>
    <w:bookmarkEnd w:id="16"/>
    <w:p>
      <w:pPr>
        <w:jc w:val="both"/>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Stockholder Lists</w:t>
      </w:r>
      <w:r>
        <w:rPr>
          <w:rFonts w:ascii="Arial" w:cs="Arial" w:eastAsia="Arial" w:hAnsi="Arial"/>
          <w:sz w:val="17"/>
          <w:szCs w:val="17"/>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Presiding Officer</w:t>
      </w:r>
      <w:r>
        <w:rPr>
          <w:rFonts w:ascii="Arial" w:cs="Arial" w:eastAsia="Arial" w:hAnsi="Arial"/>
          <w:sz w:val="17"/>
          <w:szCs w:val="17"/>
          <w:color w:val="auto"/>
        </w:rPr>
        <w:t>.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7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Inspectors of Elections</w:t>
      </w:r>
      <w:r>
        <w:rPr>
          <w:rFonts w:ascii="Arial" w:cs="Arial" w:eastAsia="Arial" w:hAnsi="Arial"/>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17" w:name="page18"/>
    <w:bookmarkEnd w:id="17"/>
    <w:p>
      <w:pPr>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except as otherwise provided by the Certificate or required by law.</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shall be filled in the manner provided in the 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Removal</w:t>
      </w:r>
      <w:r>
        <w:rPr>
          <w:rFonts w:ascii="Arial" w:cs="Arial" w:eastAsia="Arial" w:hAnsi="Arial"/>
          <w:sz w:val="18"/>
          <w:szCs w:val="18"/>
          <w:color w:val="auto"/>
        </w:rPr>
        <w:t>. Directors may be removed from office only in the manner provided in the Certificate.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Regular Meetings</w:t>
      </w:r>
      <w:r>
        <w:rPr>
          <w:rFonts w:ascii="Arial" w:cs="Arial" w:eastAsia="Arial" w:hAnsi="Arial"/>
          <w:sz w:val="18"/>
          <w:szCs w:val="18"/>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8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 of Meetings</w:t>
      </w:r>
      <w:r>
        <w:rPr>
          <w:rFonts w:ascii="Arial" w:cs="Arial" w:eastAsia="Arial" w:hAnsi="Arial"/>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18" w:name="page19"/>
    <w:bookmarkEnd w:id="18"/>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6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Quorum</w:t>
      </w:r>
      <w:r>
        <w:rPr>
          <w:rFonts w:ascii="Arial" w:cs="Arial" w:eastAsia="Arial" w:hAnsi="Arial"/>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8"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Manner of Participation</w:t>
      </w:r>
      <w:r>
        <w:rPr>
          <w:rFonts w:ascii="Arial" w:cs="Arial" w:eastAsia="Arial" w:hAnsi="Arial"/>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Presiding Director</w:t>
      </w:r>
      <w:r>
        <w:rPr>
          <w:rFonts w:ascii="Arial" w:cs="Arial" w:eastAsia="Arial" w:hAnsi="Arial"/>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9" w:name="page20"/>
    <w:bookmarkEnd w:id="19"/>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9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or a director. Any person may occupy more than one office of the Corporation at any time.</w:t>
      </w:r>
    </w:p>
    <w:p>
      <w:pPr>
        <w:spacing w:after="0" w:line="24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Resignation</w:t>
      </w:r>
      <w:r>
        <w:rPr>
          <w:rFonts w:ascii="Arial" w:cs="Arial" w:eastAsia="Arial" w:hAnsi="Arial"/>
          <w:sz w:val="17"/>
          <w:szCs w:val="17"/>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0" w:name="page21"/>
    <w:bookmarkEnd w:id="20"/>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Absence or Disability</w:t>
      </w:r>
      <w:r>
        <w:rPr>
          <w:rFonts w:ascii="Arial" w:cs="Arial" w:eastAsia="Arial" w:hAnsi="Arial"/>
          <w:sz w:val="18"/>
          <w:szCs w:val="18"/>
          <w:color w:val="auto"/>
        </w:rPr>
        <w:t>. In the event of the absence or disability of any officer, the Board of Directors may designate another officer to act temporarily in place of such absent or disabled officer.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subject to the direction of the Board of Directors, have such powers and shall perform such duties as the Board of Directors may from time to time designate.</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one is elected, shall have such powers and shall perform such duties as the Board of Directors may from time to time designate.</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5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1" w:name="page22"/>
    <w:bookmarkEnd w:id="21"/>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4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2" w:name="page23"/>
    <w:bookmarkEnd w:id="22"/>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 </w:t>
      </w: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Record Date</w:t>
      </w:r>
      <w:r>
        <w:rPr>
          <w:rFonts w:ascii="Arial" w:cs="Arial" w:eastAsia="Arial" w:hAnsi="Arial"/>
          <w:sz w:val="17"/>
          <w:szCs w:val="17"/>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117" w:lineRule="exact"/>
        <w:rPr>
          <w:sz w:val="20"/>
          <w:szCs w:val="20"/>
          <w:color w:val="auto"/>
        </w:rPr>
      </w:pPr>
    </w:p>
    <w:p>
      <w:pPr>
        <w:ind w:firstLine="464"/>
        <w:spacing w:after="0" w:line="271" w:lineRule="auto"/>
        <w:tabs>
          <w:tab w:leader="none" w:pos="701"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3" w:name="page24"/>
    <w:bookmarkEnd w:id="23"/>
    <w:p>
      <w:pPr>
        <w:ind w:left="712" w:hanging="256"/>
        <w:spacing w:after="0"/>
        <w:tabs>
          <w:tab w:leader="none" w:pos="712"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 means any person who serves or has served the Corporation as a director on the Board of Directors of the Corporation;</w:t>
      </w:r>
    </w:p>
    <w:p>
      <w:pPr>
        <w:spacing w:after="0" w:line="117" w:lineRule="exact"/>
        <w:rPr>
          <w:rFonts w:ascii="Arial" w:cs="Arial" w:eastAsia="Arial" w:hAnsi="Arial"/>
          <w:sz w:val="18"/>
          <w:szCs w:val="18"/>
          <w:color w:val="auto"/>
        </w:rPr>
      </w:pPr>
    </w:p>
    <w:p>
      <w:pPr>
        <w:ind w:left="-8" w:right="700" w:firstLine="464"/>
        <w:spacing w:after="0" w:line="277" w:lineRule="auto"/>
        <w:tabs>
          <w:tab w:leader="none" w:pos="69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62" w:lineRule="exact"/>
        <w:rPr>
          <w:rFonts w:ascii="Arial" w:cs="Arial" w:eastAsia="Arial" w:hAnsi="Arial"/>
          <w:sz w:val="18"/>
          <w:szCs w:val="18"/>
          <w:color w:val="auto"/>
        </w:rPr>
      </w:pPr>
    </w:p>
    <w:p>
      <w:pPr>
        <w:ind w:left="-8" w:firstLine="464"/>
        <w:spacing w:after="0" w:line="255" w:lineRule="auto"/>
        <w:tabs>
          <w:tab w:leader="none" w:pos="703" w:val="left"/>
        </w:tabs>
        <w:numPr>
          <w:ilvl w:val="1"/>
          <w:numId w:val="23"/>
        </w:numPr>
        <w:rPr>
          <w:rFonts w:ascii="Arial" w:cs="Arial" w:eastAsia="Arial" w:hAnsi="Arial"/>
          <w:sz w:val="18"/>
          <w:szCs w:val="18"/>
          <w:color w:val="auto"/>
        </w:rPr>
      </w:pPr>
      <w:r>
        <w:rPr>
          <w:rFonts w:ascii="Arial" w:cs="Arial" w:eastAsia="Arial" w:hAnsi="Arial"/>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85" w:lineRule="exact"/>
        <w:rPr>
          <w:rFonts w:ascii="Arial" w:cs="Arial" w:eastAsia="Arial" w:hAnsi="Arial"/>
          <w:sz w:val="18"/>
          <w:szCs w:val="18"/>
          <w:color w:val="auto"/>
        </w:rPr>
      </w:pPr>
    </w:p>
    <w:p>
      <w:pPr>
        <w:ind w:left="692" w:hanging="236"/>
        <w:spacing w:after="0"/>
        <w:tabs>
          <w:tab w:leader="none" w:pos="692" w:val="left"/>
        </w:tabs>
        <w:numPr>
          <w:ilvl w:val="1"/>
          <w:numId w:val="23"/>
        </w:numPr>
        <w:rPr>
          <w:rFonts w:ascii="Arial" w:cs="Arial" w:eastAsia="Arial" w:hAnsi="Arial"/>
          <w:sz w:val="18"/>
          <w:szCs w:val="18"/>
          <w:color w:val="auto"/>
        </w:rPr>
      </w:pPr>
      <w:r>
        <w:rPr>
          <w:rFonts w:ascii="Arial" w:cs="Arial" w:eastAsia="Arial" w:hAnsi="Arial"/>
          <w:sz w:val="18"/>
          <w:szCs w:val="18"/>
          <w:color w:val="auto"/>
        </w:rPr>
        <w:t>“Liabilities” means judgments, damages, liabilities, losses, penalties, excise taxes, fines and amounts paid in settlement;</w:t>
      </w:r>
    </w:p>
    <w:p>
      <w:pPr>
        <w:spacing w:after="0" w:line="117" w:lineRule="exact"/>
        <w:rPr>
          <w:rFonts w:ascii="Arial" w:cs="Arial" w:eastAsia="Arial" w:hAnsi="Arial"/>
          <w:sz w:val="18"/>
          <w:szCs w:val="18"/>
          <w:color w:val="auto"/>
        </w:rPr>
      </w:pPr>
    </w:p>
    <w:p>
      <w:pPr>
        <w:ind w:left="-8" w:right="500" w:firstLine="464"/>
        <w:spacing w:after="0" w:line="277" w:lineRule="auto"/>
        <w:tabs>
          <w:tab w:leader="none" w:pos="673"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62" w:lineRule="exact"/>
        <w:rPr>
          <w:rFonts w:ascii="Arial" w:cs="Arial" w:eastAsia="Arial" w:hAnsi="Arial"/>
          <w:sz w:val="18"/>
          <w:szCs w:val="18"/>
          <w:color w:val="auto"/>
        </w:rPr>
      </w:pPr>
    </w:p>
    <w:p>
      <w:pPr>
        <w:ind w:left="-8" w:right="220" w:firstLine="464"/>
        <w:spacing w:after="0" w:line="277" w:lineRule="auto"/>
        <w:tabs>
          <w:tab w:leader="none" w:pos="703" w:val="left"/>
        </w:tabs>
        <w:numPr>
          <w:ilvl w:val="1"/>
          <w:numId w:val="23"/>
        </w:numPr>
        <w:rPr>
          <w:rFonts w:ascii="Arial" w:cs="Arial" w:eastAsia="Arial" w:hAnsi="Arial"/>
          <w:sz w:val="18"/>
          <w:szCs w:val="18"/>
          <w:color w:val="auto"/>
        </w:rPr>
      </w:pPr>
      <w:r>
        <w:rPr>
          <w:rFonts w:ascii="Arial" w:cs="Arial" w:eastAsia="Arial" w:hAnsi="Arial"/>
          <w:sz w:val="18"/>
          <w:szCs w:val="18"/>
          <w:color w:val="auto"/>
        </w:rPr>
        <w:t>“Officer” means any person who serves or has served the Corporation as an officer of the Corporation appointed by the Board of Directors of the Corporation;</w:t>
      </w:r>
    </w:p>
    <w:p>
      <w:pPr>
        <w:spacing w:after="0" w:line="62" w:lineRule="exact"/>
        <w:rPr>
          <w:rFonts w:ascii="Arial" w:cs="Arial" w:eastAsia="Arial" w:hAnsi="Arial"/>
          <w:sz w:val="18"/>
          <w:szCs w:val="18"/>
          <w:color w:val="auto"/>
        </w:rPr>
      </w:pPr>
    </w:p>
    <w:p>
      <w:pPr>
        <w:ind w:left="-8" w:right="180" w:firstLine="464"/>
        <w:spacing w:after="0" w:line="277" w:lineRule="auto"/>
        <w:tabs>
          <w:tab w:leader="none" w:pos="703" w:val="left"/>
        </w:tabs>
        <w:numPr>
          <w:ilvl w:val="1"/>
          <w:numId w:val="23"/>
        </w:numPr>
        <w:rPr>
          <w:rFonts w:ascii="Arial" w:cs="Arial" w:eastAsia="Arial" w:hAnsi="Arial"/>
          <w:sz w:val="18"/>
          <w:szCs w:val="18"/>
          <w:color w:val="auto"/>
        </w:rPr>
      </w:pPr>
      <w:r>
        <w:rPr>
          <w:rFonts w:ascii="Arial" w:cs="Arial" w:eastAsia="Arial" w:hAnsi="Arial"/>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62" w:lineRule="exact"/>
        <w:rPr>
          <w:rFonts w:ascii="Arial" w:cs="Arial" w:eastAsia="Arial" w:hAnsi="Arial"/>
          <w:sz w:val="18"/>
          <w:szCs w:val="18"/>
          <w:color w:val="auto"/>
        </w:rPr>
      </w:pPr>
    </w:p>
    <w:p>
      <w:pPr>
        <w:jc w:val="both"/>
        <w:ind w:left="-8" w:right="200" w:firstLine="464"/>
        <w:spacing w:after="0" w:line="291" w:lineRule="auto"/>
        <w:tabs>
          <w:tab w:leader="none" w:pos="663" w:val="left"/>
        </w:tabs>
        <w:numPr>
          <w:ilvl w:val="1"/>
          <w:numId w:val="23"/>
        </w:numPr>
        <w:rPr>
          <w:rFonts w:ascii="Arial" w:cs="Arial" w:eastAsia="Arial" w:hAnsi="Arial"/>
          <w:sz w:val="16"/>
          <w:szCs w:val="16"/>
          <w:color w:val="auto"/>
        </w:rPr>
      </w:pPr>
      <w:r>
        <w:rPr>
          <w:rFonts w:ascii="Arial" w:cs="Arial" w:eastAsia="Arial" w:hAnsi="Arial"/>
          <w:sz w:val="16"/>
          <w:szCs w:val="16"/>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w:t>
      </w:r>
    </w:p>
    <w:p>
      <w:pPr>
        <w:ind w:left="-8" w:right="80" w:firstLine="8"/>
        <w:spacing w:after="0" w:line="255" w:lineRule="auto"/>
        <w:tabs>
          <w:tab w:leader="none" w:pos="257"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72"/>
          </w:cols>
          <w:pgMar w:left="248" w:top="274" w:right="27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117" w:lineRule="exact"/>
        <w:rPr>
          <w:sz w:val="20"/>
          <w:szCs w:val="20"/>
          <w:color w:val="auto"/>
        </w:rPr>
      </w:pPr>
    </w:p>
    <w:p>
      <w:pPr>
        <w:ind w:left="-20" w:right="40" w:firstLine="464"/>
        <w:spacing w:after="0" w:line="259" w:lineRule="auto"/>
        <w:tabs>
          <w:tab w:leader="none" w:pos="681"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78" w:lineRule="exact"/>
        <w:rPr>
          <w:rFonts w:ascii="Arial" w:cs="Arial" w:eastAsia="Arial" w:hAnsi="Arial"/>
          <w:sz w:val="18"/>
          <w:szCs w:val="18"/>
          <w:color w:val="auto"/>
        </w:rPr>
      </w:pPr>
    </w:p>
    <w:p>
      <w:pPr>
        <w:ind w:left="440" w:right="60" w:firstLine="443"/>
        <w:spacing w:after="0" w:line="293" w:lineRule="auto"/>
        <w:tabs>
          <w:tab w:leader="none" w:pos="1133"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56" w:lineRule="exact"/>
        <w:rPr>
          <w:rFonts w:ascii="Arial" w:cs="Arial" w:eastAsia="Arial" w:hAnsi="Arial"/>
          <w:sz w:val="16"/>
          <w:szCs w:val="16"/>
          <w:color w:val="auto"/>
        </w:rPr>
      </w:pPr>
    </w:p>
    <w:p>
      <w:pPr>
        <w:ind w:left="440" w:firstLine="443"/>
        <w:spacing w:after="0" w:line="289" w:lineRule="auto"/>
        <w:tabs>
          <w:tab w:leader="none" w:pos="1133"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58" w:lineRule="exact"/>
        <w:rPr>
          <w:rFonts w:ascii="Arial" w:cs="Arial" w:eastAsia="Arial" w:hAnsi="Arial"/>
          <w:sz w:val="16"/>
          <w:szCs w:val="16"/>
          <w:color w:val="auto"/>
        </w:rPr>
      </w:pPr>
    </w:p>
    <w:p>
      <w:pPr>
        <w:ind w:left="440" w:right="500" w:firstLine="443"/>
        <w:spacing w:after="0" w:line="342" w:lineRule="auto"/>
        <w:tabs>
          <w:tab w:leader="none" w:pos="1133"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5" w:lineRule="exact"/>
        <w:rPr>
          <w:rFonts w:ascii="Arial" w:cs="Arial" w:eastAsia="Arial" w:hAnsi="Arial"/>
          <w:sz w:val="16"/>
          <w:szCs w:val="16"/>
          <w:color w:val="auto"/>
        </w:rPr>
      </w:pPr>
    </w:p>
    <w:p>
      <w:pPr>
        <w:ind w:left="440" w:right="160" w:firstLine="443"/>
        <w:spacing w:after="0" w:line="264" w:lineRule="auto"/>
        <w:tabs>
          <w:tab w:leader="none" w:pos="113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4" w:right="239" w:bottom="1440" w:gutter="0" w:footer="0" w:header="0"/>
        </w:sectPr>
      </w:pPr>
    </w:p>
    <w:bookmarkStart w:id="25" w:name="page26"/>
    <w:bookmarkEnd w:id="25"/>
    <w:p>
      <w:pPr>
        <w:ind w:left="460"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8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Determination</w:t>
      </w:r>
      <w:r>
        <w:rPr>
          <w:rFonts w:ascii="Arial" w:cs="Arial" w:eastAsia="Arial" w:hAnsi="Arial"/>
          <w:sz w:val="17"/>
          <w:szCs w:val="17"/>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117" w:lineRule="exact"/>
        <w:rPr>
          <w:sz w:val="20"/>
          <w:szCs w:val="20"/>
          <w:color w:val="auto"/>
        </w:rPr>
      </w:pPr>
    </w:p>
    <w:p>
      <w:pPr>
        <w:ind w:right="180" w:firstLine="464"/>
        <w:spacing w:after="0" w:line="255" w:lineRule="auto"/>
        <w:tabs>
          <w:tab w:leader="none" w:pos="7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6" w:name="page27"/>
    <w:bookmarkEnd w:id="26"/>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57" w:lineRule="exact"/>
        <w:rPr>
          <w:sz w:val="20"/>
          <w:szCs w:val="20"/>
          <w:color w:val="auto"/>
        </w:rPr>
      </w:pPr>
    </w:p>
    <w:p>
      <w:pPr>
        <w:ind w:right="120" w:firstLine="464"/>
        <w:spacing w:after="0" w:line="272" w:lineRule="auto"/>
        <w:tabs>
          <w:tab w:leader="none" w:pos="711"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69" w:lineRule="exact"/>
        <w:rPr>
          <w:rFonts w:ascii="Arial" w:cs="Arial" w:eastAsia="Arial" w:hAnsi="Arial"/>
          <w:sz w:val="17"/>
          <w:szCs w:val="17"/>
          <w:color w:val="auto"/>
        </w:rPr>
      </w:pPr>
    </w:p>
    <w:p>
      <w:pPr>
        <w:ind w:right="140" w:firstLine="464"/>
        <w:spacing w:after="0" w:line="342" w:lineRule="auto"/>
        <w:tabs>
          <w:tab w:leader="none" w:pos="7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Advancement of Expenses to Officers and Non-Officer Employees Prior to Final Disposition</w:t>
      </w:r>
      <w:r>
        <w:rPr>
          <w:rFonts w:ascii="Arial" w:cs="Arial" w:eastAsia="Arial" w:hAnsi="Arial"/>
          <w:sz w:val="18"/>
          <w:szCs w:val="18"/>
          <w:color w:val="auto"/>
        </w:rPr>
        <w:t>.</w:t>
      </w:r>
    </w:p>
    <w:p>
      <w:pPr>
        <w:spacing w:after="0" w:line="117" w:lineRule="exact"/>
        <w:rPr>
          <w:sz w:val="20"/>
          <w:szCs w:val="20"/>
          <w:color w:val="auto"/>
        </w:rPr>
      </w:pPr>
    </w:p>
    <w:p>
      <w:pPr>
        <w:ind w:right="140" w:firstLine="464"/>
        <w:spacing w:after="0" w:line="255" w:lineRule="auto"/>
        <w:tabs>
          <w:tab w:leader="none" w:pos="7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81" w:lineRule="exact"/>
        <w:rPr>
          <w:rFonts w:ascii="Arial" w:cs="Arial" w:eastAsia="Arial" w:hAnsi="Arial"/>
          <w:sz w:val="18"/>
          <w:szCs w:val="18"/>
          <w:color w:val="auto"/>
        </w:rPr>
      </w:pPr>
    </w:p>
    <w:p>
      <w:pPr>
        <w:ind w:firstLine="464"/>
        <w:spacing w:after="0" w:line="264" w:lineRule="auto"/>
        <w:tabs>
          <w:tab w:leader="none" w:pos="7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4" w:right="339" w:bottom="1440" w:gutter="0" w:footer="0" w:header="0"/>
        </w:sectPr>
      </w:pPr>
    </w:p>
    <w:bookmarkStart w:id="27" w:name="page28"/>
    <w:bookmarkEnd w:id="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0" w:lineRule="auto"/>
        <w:tabs>
          <w:tab w:leader="none" w:pos="701"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69" w:lineRule="exact"/>
        <w:rPr>
          <w:rFonts w:ascii="Arial" w:cs="Arial" w:eastAsia="Arial" w:hAnsi="Arial"/>
          <w:sz w:val="17"/>
          <w:szCs w:val="17"/>
          <w:color w:val="auto"/>
        </w:rPr>
      </w:pPr>
    </w:p>
    <w:p>
      <w:pPr>
        <w:ind w:right="80" w:firstLine="464"/>
        <w:spacing w:after="0" w:line="272" w:lineRule="auto"/>
        <w:tabs>
          <w:tab w:leader="none" w:pos="711"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69" w:lineRule="exact"/>
        <w:rPr>
          <w:rFonts w:ascii="Arial" w:cs="Arial" w:eastAsia="Arial" w:hAnsi="Arial"/>
          <w:sz w:val="17"/>
          <w:szCs w:val="17"/>
          <w:color w:val="auto"/>
        </w:rPr>
      </w:pPr>
    </w:p>
    <w:p>
      <w:pPr>
        <w:ind w:firstLine="464"/>
        <w:spacing w:after="0" w:line="277" w:lineRule="auto"/>
        <w:tabs>
          <w:tab w:leader="none" w:pos="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Article V as a result of such person serving, at the request of the Corporation, as a director, partner, trustee, officer, employee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8" w:name="page29"/>
    <w:bookmarkEnd w:id="28"/>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or the executive committee of the Board may authorize.</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7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Corporate Records</w:t>
      </w:r>
      <w:r>
        <w:rPr>
          <w:rFonts w:ascii="Arial" w:cs="Arial" w:eastAsia="Arial" w:hAnsi="Arial"/>
          <w:sz w:val="17"/>
          <w:szCs w:val="17"/>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9" w:name="page30"/>
    <w:bookmarkEnd w:id="29"/>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Second Amended and Restated Certificate of Incorporation of the Corporation, as amended and/or restated and in effect from time to time.</w:t>
      </w:r>
    </w:p>
    <w:p>
      <w:pPr>
        <w:spacing w:after="0" w:line="17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Exclusive Jurisdiction of Delaware Courts or the United States District Court for the District of Illinois</w:t>
      </w:r>
      <w:r>
        <w:rPr>
          <w:rFonts w:ascii="Arial" w:cs="Arial" w:eastAsia="Arial" w:hAnsi="Arial"/>
          <w:sz w:val="17"/>
          <w:szCs w:val="17"/>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or based on a fiduciary duty owed by any current or former director, officer or other employee of the Corporation to the Corporation or the Corporation’s stockholders, (iii) any action asserting a claim against the Corporation or any current or former director, officer, or other employee or stockholder of the Corporation arising pursuant to any provision of the Delaware General Corporation Law or the Certificate or By-laws, or (iv) any action asserting a claim against the Corporation governed by the internal affairs doctrine. Unless the Corporation consents in writing to the selection of an alternative forum, the United States District Court for the Northern District of Illinois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117" w:lineRule="exact"/>
        <w:rPr>
          <w:sz w:val="20"/>
          <w:szCs w:val="20"/>
          <w:color w:val="auto"/>
        </w:rPr>
      </w:pPr>
    </w:p>
    <w:p>
      <w:pPr>
        <w:ind w:right="500" w:firstLine="464"/>
        <w:spacing w:after="0" w:line="277" w:lineRule="auto"/>
        <w:tabs>
          <w:tab w:leader="none" w:pos="70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these By-laws may be amended or repealed by the Board of Directors by the affirmative vote of a majority of the directors then in office.</w:t>
      </w:r>
    </w:p>
    <w:p>
      <w:pPr>
        <w:spacing w:after="0" w:line="62" w:lineRule="exact"/>
        <w:rPr>
          <w:rFonts w:ascii="Arial" w:cs="Arial" w:eastAsia="Arial" w:hAnsi="Arial"/>
          <w:sz w:val="18"/>
          <w:szCs w:val="18"/>
          <w:color w:val="auto"/>
        </w:rPr>
      </w:pPr>
    </w:p>
    <w:p>
      <w:pPr>
        <w:ind w:right="60" w:firstLine="464"/>
        <w:spacing w:after="0" w:line="259" w:lineRule="auto"/>
        <w:tabs>
          <w:tab w:leader="none" w:pos="711"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Notices</w:t>
      </w:r>
      <w:r>
        <w:rPr>
          <w:rFonts w:ascii="Arial" w:cs="Arial" w:eastAsia="Arial" w:hAnsi="Arial"/>
          <w:sz w:val="17"/>
          <w:szCs w:val="17"/>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66" w:lineRule="exact"/>
        <w:rPr>
          <w:sz w:val="20"/>
          <w:szCs w:val="20"/>
          <w:color w:val="auto"/>
        </w:rPr>
      </w:pPr>
    </w:p>
    <w:p>
      <w:pPr>
        <w:jc w:val="both"/>
        <w:ind w:right="460" w:firstLine="456"/>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66"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Adopted April 25, 2018, subject to and effective upon the closing of the Corporation’s initial public offering on its Registration Statement on Form S-1. 22</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lowerRoman"/>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lowerLetter"/>
      <w:start w:val="1"/>
    </w:lvl>
    <w:lvl w:ilvl="1">
      <w:lvlJc w:val="left"/>
      <w:lvlText w:val="(%2)"/>
      <w:numFmt w:val="decimal"/>
      <w:start w:val="1"/>
    </w:lvl>
  </w:abstractNum>
  <w:abstractNum w:abstractNumId="9">
    <w:nsid w:val="62BBD95A"/>
    <w:multiLevelType w:val="hybridMultilevel"/>
    <w:lvl w:ilvl="0">
      <w:lvlJc w:val="left"/>
      <w:lvlText w:val="(%1)"/>
      <w:numFmt w:val="decimal"/>
      <w:start w:val="2"/>
    </w:lvl>
    <w:lvl w:ilvl="1">
      <w:lvlJc w:val="left"/>
      <w:lvlText w:val="(%2)"/>
      <w:numFmt w:val="upperLetter"/>
      <w:start w:val="1"/>
    </w:lvl>
  </w:abstractNum>
  <w:abstractNum w:abstractNumId="10">
    <w:nsid w:val="436C6125"/>
    <w:multiLevelType w:val="hybridMultilevel"/>
    <w:lvl w:ilvl="0">
      <w:lvlJc w:val="left"/>
      <w:lvlText w:val="%1"/>
      <w:numFmt w:val="lowerLetter"/>
      <w:start w:val="1"/>
    </w:lvl>
    <w:lvl w:ilvl="1">
      <w:lvlJc w:val="left"/>
      <w:lvlText w:val="(%2)"/>
      <w:numFmt w:val="upperLetter"/>
      <w:start w:val="2"/>
    </w:lvl>
  </w:abstractNum>
  <w:abstractNum w:abstractNumId="11">
    <w:nsid w:val="628C895D"/>
    <w:multiLevelType w:val="hybridMultilevel"/>
    <w:lvl w:ilvl="0">
      <w:lvlJc w:val="left"/>
      <w:lvlText w:val="(%1)"/>
      <w:numFmt w:val="lowerLetter"/>
      <w:start w:val="26"/>
    </w:lvl>
    <w:lvl w:ilvl="1">
      <w:lvlJc w:val="left"/>
      <w:lvlText w:val="%2"/>
      <w:numFmt w:val="upperLetter"/>
      <w:start w:val="1"/>
    </w:lvl>
  </w:abstractNum>
  <w:abstractNum w:abstractNumId="12">
    <w:nsid w:val="333AB105"/>
    <w:multiLevelType w:val="hybridMultilevel"/>
    <w:lvl w:ilvl="0">
      <w:lvlJc w:val="left"/>
      <w:lvlText w:val="(%1)"/>
      <w:numFmt w:val="lowerLetter"/>
      <w:start w:val="61"/>
    </w:lvl>
    <w:lvl w:ilvl="1">
      <w:lvlJc w:val="left"/>
      <w:lvlText w:val="%2"/>
      <w:numFmt w:val="upperLetter"/>
      <w:start w:val="1"/>
    </w:lvl>
  </w:abstractNum>
  <w:abstractNum w:abstractNumId="13">
    <w:nsid w:val="721DA317"/>
    <w:multiLevelType w:val="hybridMultilevel"/>
    <w:lvl w:ilvl="0">
      <w:lvlJc w:val="left"/>
      <w:lvlText w:val="(%1)"/>
      <w:numFmt w:val="upperLetter"/>
      <w:start w:val="4"/>
    </w:lvl>
  </w:abstractNum>
  <w:abstractNum w:abstractNumId="14">
    <w:nsid w:val="2443A858"/>
    <w:multiLevelType w:val="hybridMultilevel"/>
    <w:lvl w:ilvl="0">
      <w:lvlJc w:val="left"/>
      <w:lvlText w:val="%1"/>
      <w:numFmt w:val="decimal"/>
      <w:start w:val="1"/>
    </w:lvl>
    <w:lvl w:ilvl="1">
      <w:lvlJc w:val="left"/>
      <w:lvlText w:val="(%2)"/>
      <w:numFmt w:val="decimal"/>
      <w:start w:val="3"/>
    </w:lvl>
  </w:abstractNum>
  <w:abstractNum w:abstractNumId="15">
    <w:nsid w:val="2D1D5AE9"/>
    <w:multiLevelType w:val="hybridMultilevel"/>
    <w:lvl w:ilvl="0">
      <w:lvlJc w:val="left"/>
      <w:lvlText w:val="(%1)"/>
      <w:numFmt w:val="decimal"/>
      <w:start w:val="10"/>
    </w:lvl>
    <w:lvl w:ilvl="1">
      <w:lvlJc w:val="left"/>
      <w:lvlText w:val="(%2)"/>
      <w:numFmt w:val="decimal"/>
      <w:start w:val="4"/>
    </w:lvl>
  </w:abstractNum>
  <w:abstractNum w:abstractNumId="16">
    <w:nsid w:val="6763845E"/>
    <w:multiLevelType w:val="hybridMultilevel"/>
    <w:lvl w:ilvl="0">
      <w:lvlJc w:val="left"/>
      <w:lvlText w:val="(%1)"/>
      <w:numFmt w:val="lowerLetter"/>
      <w:start w:val="2"/>
    </w:lvl>
    <w:lvl w:ilvl="1">
      <w:lvlJc w:val="left"/>
      <w:lvlText w:val="(%2)"/>
      <w:numFmt w:val="decimal"/>
      <w:start w:val="1"/>
    </w:lvl>
  </w:abstractNum>
  <w:abstractNum w:abstractNumId="17">
    <w:nsid w:val="75A2A8D4"/>
    <w:multiLevelType w:val="hybridMultilevel"/>
    <w:lvl w:ilvl="0">
      <w:lvlJc w:val="left"/>
      <w:lvlText w:val="%1"/>
      <w:numFmt w:val="lowerLetter"/>
      <w:start w:val="1"/>
    </w:lvl>
    <w:lvl w:ilvl="1">
      <w:lvlJc w:val="left"/>
      <w:lvlText w:val="(%2)"/>
      <w:numFmt w:val="decimal"/>
      <w:start w:val="2"/>
    </w:lvl>
  </w:abstractNum>
  <w:abstractNum w:abstractNumId="18">
    <w:nsid w:val="8EDBDAB"/>
    <w:multiLevelType w:val="hybridMultilevel"/>
    <w:lvl w:ilvl="0">
      <w:lvlJc w:val="left"/>
      <w:lvlText w:val="(%1)"/>
      <w:numFmt w:val="lowerLetter"/>
      <w:start w:val="3"/>
    </w:lvl>
    <w:lvl w:ilvl="1">
      <w:lvlJc w:val="left"/>
      <w:lvlText w:val="%2"/>
      <w:numFmt w:val="decimal"/>
      <w:start w:val="1"/>
    </w:lvl>
  </w:abstractNum>
  <w:abstractNum w:abstractNumId="19">
    <w:nsid w:val="79838CB2"/>
    <w:multiLevelType w:val="hybridMultilevel"/>
    <w:lvl w:ilvl="0">
      <w:lvlJc w:val="left"/>
      <w:lvlText w:val="(%1)"/>
      <w:numFmt w:val="lowerLetter"/>
      <w:start w:val="1"/>
    </w:lvl>
  </w:abstractNum>
  <w:abstractNum w:abstractNumId="20">
    <w:nsid w:val="4353D0CD"/>
    <w:multiLevelType w:val="hybridMultilevel"/>
    <w:lvl w:ilvl="0">
      <w:lvlJc w:val="left"/>
      <w:lvlText w:val="(%1)"/>
      <w:numFmt w:val="lowerLetter"/>
      <w:start w:val="5"/>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lvl w:ilvl="1">
      <w:lvlJc w:val="left"/>
      <w:lvlText w:val="(%2)"/>
      <w:numFmt w:val="lowerLetter"/>
      <w:start w:val="2"/>
    </w:lvl>
  </w:abstractNum>
  <w:abstractNum w:abstractNumId="23">
    <w:nsid w:val="54E49EB4"/>
    <w:multiLevelType w:val="hybridMultilevel"/>
    <w:lvl w:ilvl="0">
      <w:lvlJc w:val="left"/>
      <w:lvlText w:val="(%1)"/>
      <w:numFmt w:val="lowerLetter"/>
      <w:start w:val="35"/>
    </w:lvl>
    <w:lvl w:ilvl="1">
      <w:lvlJc w:val="left"/>
      <w:lvlText w:val="%2"/>
      <w:numFmt w:val="lowerLetter"/>
      <w:start w:val="1"/>
    </w:lvl>
  </w:abstractNum>
  <w:abstractNum w:abstractNumId="24">
    <w:nsid w:val="71F32454"/>
    <w:multiLevelType w:val="hybridMultilevel"/>
    <w:lvl w:ilvl="0">
      <w:lvlJc w:val="left"/>
      <w:lvlText w:val="(%1)"/>
      <w:numFmt w:val="lowerLetter"/>
      <w:start w:val="1"/>
    </w:lvl>
    <w:lvl w:ilvl="1">
      <w:lvlJc w:val="left"/>
      <w:lvlText w:val="(%2)"/>
      <w:numFmt w:val="decimal"/>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2019-12-28T21:28:11Z</dcterms:created>
  <dcterms:modified xsi:type="dcterms:W3CDTF">2019-12-28T21:28:11Z</dcterms:modified>
</cp:coreProperties>
</file>