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193675</wp:posOffset>
            </wp:positionH>
            <wp:positionV relativeFrom="page">
              <wp:posOffset>594360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567055</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CURRENT REPORT</w:t>
      </w:r>
    </w:p>
    <w:p>
      <w:pPr>
        <w:spacing w:after="0" w:line="19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Pursuant to Section 13 or 15(d)</w:t>
      </w:r>
    </w:p>
    <w:p>
      <w:pPr>
        <w:spacing w:after="0" w:line="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of the Securities Exchange Act of 1934</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Date of Report (Date of earliest event reported): June 5, 2024</w:t>
      </w:r>
    </w:p>
    <w:p>
      <w:pPr>
        <w:spacing w:after="0" w:line="37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XERIS BIOPHARMA HOLDINGS, INC.</w:t>
      </w:r>
    </w:p>
    <w:p>
      <w:pPr>
        <w:spacing w:after="0" w:line="217" w:lineRule="exact"/>
        <w:rPr>
          <w:sz w:val="24"/>
          <w:szCs w:val="24"/>
          <w:color w:val="auto"/>
        </w:rPr>
      </w:pPr>
    </w:p>
    <w:tbl>
      <w:tblPr>
        <w:tblLayout w:type="fixed"/>
        <w:tblInd w:w="1200" w:type="dxa"/>
        <w:tblCellMar>
          <w:top w:w="0" w:type="dxa"/>
          <w:left w:w="0" w:type="dxa"/>
          <w:bottom w:w="0" w:type="dxa"/>
          <w:right w:w="0" w:type="dxa"/>
        </w:tblCellMar>
      </w:tblPr>
      <w:tr>
        <w:trPr>
          <w:trHeight w:val="184"/>
        </w:trPr>
        <w:tc>
          <w:tcPr>
            <w:tcW w:w="2180" w:type="dxa"/>
            <w:vAlign w:val="bottom"/>
          </w:tcPr>
          <w:p>
            <w:pPr>
              <w:spacing w:after="0"/>
              <w:rPr>
                <w:sz w:val="16"/>
                <w:szCs w:val="16"/>
                <w:color w:val="auto"/>
              </w:rPr>
            </w:pPr>
          </w:p>
        </w:tc>
        <w:tc>
          <w:tcPr>
            <w:tcW w:w="4680" w:type="dxa"/>
            <w:vAlign w:val="bottom"/>
          </w:tcPr>
          <w:p>
            <w:pPr>
              <w:jc w:val="center"/>
              <w:ind w:right="92"/>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c>
          <w:tcPr>
            <w:tcW w:w="1780" w:type="dxa"/>
            <w:vAlign w:val="bottom"/>
          </w:tcPr>
          <w:p>
            <w:pPr>
              <w:spacing w:after="0"/>
              <w:rPr>
                <w:sz w:val="16"/>
                <w:szCs w:val="16"/>
                <w:color w:val="auto"/>
              </w:rPr>
            </w:pPr>
          </w:p>
        </w:tc>
      </w:tr>
      <w:tr>
        <w:trPr>
          <w:trHeight w:val="202"/>
        </w:trPr>
        <w:tc>
          <w:tcPr>
            <w:tcW w:w="2180" w:type="dxa"/>
            <w:vAlign w:val="bottom"/>
          </w:tcPr>
          <w:p>
            <w:pPr>
              <w:jc w:val="center"/>
              <w:ind w:right="654"/>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4680" w:type="dxa"/>
            <w:vAlign w:val="bottom"/>
          </w:tcPr>
          <w:p>
            <w:pPr>
              <w:jc w:val="center"/>
              <w:ind w:right="52"/>
              <w:spacing w:after="0"/>
              <w:rPr>
                <w:sz w:val="20"/>
                <w:szCs w:val="20"/>
                <w:color w:val="auto"/>
              </w:rPr>
            </w:pPr>
            <w:r>
              <w:rPr>
                <w:rFonts w:ascii="Times New Roman" w:cs="Times New Roman" w:eastAsia="Times New Roman" w:hAnsi="Times New Roman"/>
                <w:sz w:val="14"/>
                <w:szCs w:val="14"/>
                <w:b w:val="1"/>
                <w:bCs w:val="1"/>
                <w:color w:val="auto"/>
                <w:w w:val="98"/>
              </w:rPr>
              <w:t>001-40880</w:t>
            </w:r>
          </w:p>
        </w:tc>
        <w:tc>
          <w:tcPr>
            <w:tcW w:w="1780" w:type="dxa"/>
            <w:vAlign w:val="bottom"/>
          </w:tcPr>
          <w:p>
            <w:pPr>
              <w:jc w:val="center"/>
              <w:ind w:left="794"/>
              <w:spacing w:after="0"/>
              <w:rPr>
                <w:sz w:val="20"/>
                <w:szCs w:val="20"/>
                <w:color w:val="auto"/>
              </w:rPr>
            </w:pPr>
            <w:r>
              <w:rPr>
                <w:rFonts w:ascii="Times New Roman" w:cs="Times New Roman" w:eastAsia="Times New Roman" w:hAnsi="Times New Roman"/>
                <w:sz w:val="14"/>
                <w:szCs w:val="14"/>
                <w:b w:val="1"/>
                <w:bCs w:val="1"/>
                <w:color w:val="auto"/>
              </w:rPr>
              <w:t>87-1082097</w:t>
            </w:r>
          </w:p>
        </w:tc>
      </w:tr>
      <w:tr>
        <w:trPr>
          <w:trHeight w:val="128"/>
        </w:trPr>
        <w:tc>
          <w:tcPr>
            <w:tcW w:w="2180" w:type="dxa"/>
            <w:vAlign w:val="bottom"/>
          </w:tcPr>
          <w:p>
            <w:pPr>
              <w:jc w:val="center"/>
              <w:ind w:right="654"/>
              <w:spacing w:after="0" w:line="128"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4680" w:type="dxa"/>
            <w:vAlign w:val="bottom"/>
          </w:tcPr>
          <w:p>
            <w:pPr>
              <w:jc w:val="center"/>
              <w:ind w:right="52"/>
              <w:spacing w:after="0" w:line="128" w:lineRule="exact"/>
              <w:rPr>
                <w:sz w:val="20"/>
                <w:szCs w:val="20"/>
                <w:color w:val="auto"/>
              </w:rPr>
            </w:pPr>
            <w:r>
              <w:rPr>
                <w:rFonts w:ascii="Times New Roman" w:cs="Times New Roman" w:eastAsia="Times New Roman" w:hAnsi="Times New Roman"/>
                <w:sz w:val="13"/>
                <w:szCs w:val="13"/>
                <w:color w:val="auto"/>
                <w:w w:val="96"/>
              </w:rPr>
              <w:t>(Commission</w:t>
            </w:r>
          </w:p>
        </w:tc>
        <w:tc>
          <w:tcPr>
            <w:tcW w:w="1780" w:type="dxa"/>
            <w:vAlign w:val="bottom"/>
          </w:tcPr>
          <w:p>
            <w:pPr>
              <w:jc w:val="center"/>
              <w:ind w:left="774"/>
              <w:spacing w:after="0" w:line="128"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65"/>
        </w:trPr>
        <w:tc>
          <w:tcPr>
            <w:tcW w:w="2180" w:type="dxa"/>
            <w:vAlign w:val="bottom"/>
          </w:tcPr>
          <w:p>
            <w:pPr>
              <w:jc w:val="center"/>
              <w:ind w:right="654"/>
              <w:spacing w:after="0"/>
              <w:rPr>
                <w:sz w:val="20"/>
                <w:szCs w:val="20"/>
                <w:color w:val="auto"/>
              </w:rPr>
            </w:pPr>
            <w:r>
              <w:rPr>
                <w:rFonts w:ascii="Times New Roman" w:cs="Times New Roman" w:eastAsia="Times New Roman" w:hAnsi="Times New Roman"/>
                <w:sz w:val="13"/>
                <w:szCs w:val="13"/>
                <w:color w:val="auto"/>
                <w:w w:val="99"/>
              </w:rPr>
              <w:t>incorporation)</w:t>
            </w:r>
          </w:p>
        </w:tc>
        <w:tc>
          <w:tcPr>
            <w:tcW w:w="4680" w:type="dxa"/>
            <w:vAlign w:val="bottom"/>
          </w:tcPr>
          <w:p>
            <w:pPr>
              <w:jc w:val="center"/>
              <w:ind w:right="52"/>
              <w:spacing w:after="0"/>
              <w:rPr>
                <w:sz w:val="20"/>
                <w:szCs w:val="20"/>
                <w:color w:val="auto"/>
              </w:rPr>
            </w:pPr>
            <w:r>
              <w:rPr>
                <w:rFonts w:ascii="Times New Roman" w:cs="Times New Roman" w:eastAsia="Times New Roman" w:hAnsi="Times New Roman"/>
                <w:sz w:val="13"/>
                <w:szCs w:val="13"/>
                <w:color w:val="auto"/>
                <w:w w:val="96"/>
              </w:rPr>
              <w:t>File Number)</w:t>
            </w:r>
          </w:p>
        </w:tc>
        <w:tc>
          <w:tcPr>
            <w:tcW w:w="1780" w:type="dxa"/>
            <w:vAlign w:val="bottom"/>
          </w:tcPr>
          <w:p>
            <w:pPr>
              <w:jc w:val="center"/>
              <w:ind w:left="774"/>
              <w:spacing w:after="0"/>
              <w:rPr>
                <w:sz w:val="20"/>
                <w:szCs w:val="20"/>
                <w:color w:val="auto"/>
              </w:rPr>
            </w:pPr>
            <w:r>
              <w:rPr>
                <w:rFonts w:ascii="Times New Roman" w:cs="Times New Roman" w:eastAsia="Times New Roman" w:hAnsi="Times New Roman"/>
                <w:sz w:val="13"/>
                <w:szCs w:val="13"/>
                <w:color w:val="auto"/>
                <w:w w:val="97"/>
              </w:rPr>
              <w:t>Identification No.)</w:t>
            </w:r>
          </w:p>
        </w:tc>
      </w:tr>
      <w:tr>
        <w:trPr>
          <w:trHeight w:val="423"/>
        </w:trPr>
        <w:tc>
          <w:tcPr>
            <w:tcW w:w="2180" w:type="dxa"/>
            <w:vAlign w:val="bottom"/>
          </w:tcPr>
          <w:p>
            <w:pPr>
              <w:spacing w:after="0"/>
              <w:rPr>
                <w:sz w:val="24"/>
                <w:szCs w:val="24"/>
                <w:color w:val="auto"/>
              </w:rPr>
            </w:pPr>
          </w:p>
        </w:tc>
        <w:tc>
          <w:tcPr>
            <w:tcW w:w="46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1375 West Fulton Street, Suite 1300</w:t>
            </w:r>
          </w:p>
        </w:tc>
        <w:tc>
          <w:tcPr>
            <w:tcW w:w="1780" w:type="dxa"/>
            <w:vAlign w:val="bottom"/>
          </w:tcPr>
          <w:p>
            <w:pPr>
              <w:spacing w:after="0"/>
              <w:rPr>
                <w:sz w:val="24"/>
                <w:szCs w:val="24"/>
                <w:color w:val="auto"/>
              </w:rPr>
            </w:pPr>
          </w:p>
        </w:tc>
      </w:tr>
      <w:tr>
        <w:trPr>
          <w:trHeight w:val="176"/>
        </w:trPr>
        <w:tc>
          <w:tcPr>
            <w:tcW w:w="2180" w:type="dxa"/>
            <w:vAlign w:val="bottom"/>
          </w:tcPr>
          <w:p>
            <w:pPr>
              <w:spacing w:after="0"/>
              <w:rPr>
                <w:sz w:val="15"/>
                <w:szCs w:val="15"/>
                <w:color w:val="auto"/>
              </w:rPr>
            </w:pPr>
          </w:p>
        </w:tc>
        <w:tc>
          <w:tcPr>
            <w:tcW w:w="46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Chicago, Illinois 60607</w:t>
            </w:r>
          </w:p>
        </w:tc>
        <w:tc>
          <w:tcPr>
            <w:tcW w:w="1780" w:type="dxa"/>
            <w:vAlign w:val="bottom"/>
          </w:tcPr>
          <w:p>
            <w:pPr>
              <w:spacing w:after="0"/>
              <w:rPr>
                <w:sz w:val="15"/>
                <w:szCs w:val="15"/>
                <w:color w:val="auto"/>
              </w:rPr>
            </w:pPr>
          </w:p>
        </w:tc>
      </w:tr>
      <w:tr>
        <w:trPr>
          <w:trHeight w:val="165"/>
        </w:trPr>
        <w:tc>
          <w:tcPr>
            <w:tcW w:w="2180" w:type="dxa"/>
            <w:vAlign w:val="bottom"/>
          </w:tcPr>
          <w:p>
            <w:pPr>
              <w:spacing w:after="0"/>
              <w:rPr>
                <w:sz w:val="14"/>
                <w:szCs w:val="14"/>
                <w:color w:val="auto"/>
              </w:rPr>
            </w:pPr>
          </w:p>
        </w:tc>
        <w:tc>
          <w:tcPr>
            <w:tcW w:w="468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auto"/>
                <w:w w:val="97"/>
              </w:rPr>
              <w:t>(Address of principal executive offices, including zip code)</w:t>
            </w:r>
          </w:p>
        </w:tc>
        <w:tc>
          <w:tcPr>
            <w:tcW w:w="1780" w:type="dxa"/>
            <w:vAlign w:val="bottom"/>
          </w:tcPr>
          <w:p>
            <w:pPr>
              <w:spacing w:after="0"/>
              <w:rPr>
                <w:sz w:val="14"/>
                <w:szCs w:val="14"/>
                <w:color w:val="auto"/>
              </w:rPr>
            </w:pPr>
          </w:p>
        </w:tc>
      </w:tr>
      <w:tr>
        <w:trPr>
          <w:trHeight w:val="344"/>
        </w:trPr>
        <w:tc>
          <w:tcPr>
            <w:tcW w:w="2180" w:type="dxa"/>
            <w:vAlign w:val="bottom"/>
          </w:tcPr>
          <w:p>
            <w:pPr>
              <w:spacing w:after="0"/>
              <w:rPr>
                <w:sz w:val="24"/>
                <w:szCs w:val="24"/>
                <w:color w:val="auto"/>
              </w:rPr>
            </w:pPr>
          </w:p>
        </w:tc>
        <w:tc>
          <w:tcPr>
            <w:tcW w:w="4680" w:type="dxa"/>
            <w:vAlign w:val="bottom"/>
          </w:tcPr>
          <w:p>
            <w:pPr>
              <w:jc w:val="center"/>
              <w:ind w:right="92"/>
              <w:spacing w:after="0"/>
              <w:rPr>
                <w:sz w:val="20"/>
                <w:szCs w:val="20"/>
                <w:color w:val="auto"/>
              </w:rPr>
            </w:pPr>
            <w:r>
              <w:rPr>
                <w:rFonts w:ascii="Times New Roman" w:cs="Times New Roman" w:eastAsia="Times New Roman" w:hAnsi="Times New Roman"/>
                <w:sz w:val="14"/>
                <w:szCs w:val="14"/>
                <w:b w:val="1"/>
                <w:bCs w:val="1"/>
                <w:color w:val="auto"/>
              </w:rPr>
              <w:t>(844) 445-5704</w:t>
            </w:r>
          </w:p>
        </w:tc>
        <w:tc>
          <w:tcPr>
            <w:tcW w:w="1780" w:type="dxa"/>
            <w:vAlign w:val="bottom"/>
          </w:tcPr>
          <w:p>
            <w:pPr>
              <w:spacing w:after="0"/>
              <w:rPr>
                <w:sz w:val="24"/>
                <w:szCs w:val="24"/>
                <w:color w:val="auto"/>
              </w:rPr>
            </w:pPr>
          </w:p>
        </w:tc>
      </w:tr>
      <w:tr>
        <w:trPr>
          <w:trHeight w:val="165"/>
        </w:trPr>
        <w:tc>
          <w:tcPr>
            <w:tcW w:w="2180" w:type="dxa"/>
            <w:vAlign w:val="bottom"/>
          </w:tcPr>
          <w:p>
            <w:pPr>
              <w:spacing w:after="0"/>
              <w:rPr>
                <w:sz w:val="14"/>
                <w:szCs w:val="14"/>
                <w:color w:val="auto"/>
              </w:rPr>
            </w:pPr>
          </w:p>
        </w:tc>
        <w:tc>
          <w:tcPr>
            <w:tcW w:w="4680" w:type="dxa"/>
            <w:vAlign w:val="bottom"/>
          </w:tcPr>
          <w:p>
            <w:pPr>
              <w:jc w:val="center"/>
              <w:ind w:right="92"/>
              <w:spacing w:after="0"/>
              <w:rPr>
                <w:sz w:val="20"/>
                <w:szCs w:val="20"/>
                <w:color w:val="auto"/>
              </w:rPr>
            </w:pPr>
            <w:r>
              <w:rPr>
                <w:rFonts w:ascii="Times New Roman" w:cs="Times New Roman" w:eastAsia="Times New Roman" w:hAnsi="Times New Roman"/>
                <w:sz w:val="13"/>
                <w:szCs w:val="13"/>
                <w:color w:val="auto"/>
                <w:w w:val="97"/>
              </w:rPr>
              <w:t>(Registrant's telephone number, including area code)</w:t>
            </w:r>
          </w:p>
        </w:tc>
        <w:tc>
          <w:tcPr>
            <w:tcW w:w="1780" w:type="dxa"/>
            <w:vAlign w:val="bottom"/>
          </w:tcPr>
          <w:p>
            <w:pPr>
              <w:spacing w:after="0"/>
              <w:rPr>
                <w:sz w:val="14"/>
                <w:szCs w:val="14"/>
                <w:color w:val="auto"/>
              </w:rPr>
            </w:pPr>
          </w:p>
        </w:tc>
      </w:tr>
      <w:tr>
        <w:trPr>
          <w:trHeight w:val="354"/>
        </w:trPr>
        <w:tc>
          <w:tcPr>
            <w:tcW w:w="2180" w:type="dxa"/>
            <w:vAlign w:val="bottom"/>
          </w:tcPr>
          <w:p>
            <w:pPr>
              <w:spacing w:after="0"/>
              <w:rPr>
                <w:sz w:val="24"/>
                <w:szCs w:val="24"/>
                <w:color w:val="auto"/>
              </w:rPr>
            </w:pPr>
          </w:p>
        </w:tc>
        <w:tc>
          <w:tcPr>
            <w:tcW w:w="4680" w:type="dxa"/>
            <w:vAlign w:val="bottom"/>
          </w:tcPr>
          <w:p>
            <w:pPr>
              <w:jc w:val="center"/>
              <w:ind w:right="72"/>
              <w:spacing w:after="0"/>
              <w:rPr>
                <w:sz w:val="20"/>
                <w:szCs w:val="20"/>
                <w:color w:val="auto"/>
              </w:rPr>
            </w:pPr>
            <w:r>
              <w:rPr>
                <w:rFonts w:ascii="Times New Roman" w:cs="Times New Roman" w:eastAsia="Times New Roman" w:hAnsi="Times New Roman"/>
                <w:sz w:val="14"/>
                <w:szCs w:val="14"/>
                <w:b w:val="1"/>
                <w:bCs w:val="1"/>
                <w:color w:val="auto"/>
              </w:rPr>
              <w:t>Not Applicable</w:t>
            </w:r>
          </w:p>
        </w:tc>
        <w:tc>
          <w:tcPr>
            <w:tcW w:w="1780" w:type="dxa"/>
            <w:vAlign w:val="bottom"/>
          </w:tcPr>
          <w:p>
            <w:pPr>
              <w:spacing w:after="0"/>
              <w:rPr>
                <w:sz w:val="24"/>
                <w:szCs w:val="24"/>
                <w:color w:val="auto"/>
              </w:rPr>
            </w:pPr>
          </w:p>
        </w:tc>
      </w:tr>
      <w:tr>
        <w:trPr>
          <w:trHeight w:val="165"/>
        </w:trPr>
        <w:tc>
          <w:tcPr>
            <w:tcW w:w="2180" w:type="dxa"/>
            <w:vAlign w:val="bottom"/>
          </w:tcPr>
          <w:p>
            <w:pPr>
              <w:spacing w:after="0"/>
              <w:rPr>
                <w:sz w:val="14"/>
                <w:szCs w:val="14"/>
                <w:color w:val="auto"/>
              </w:rPr>
            </w:pPr>
          </w:p>
        </w:tc>
        <w:tc>
          <w:tcPr>
            <w:tcW w:w="4680" w:type="dxa"/>
            <w:vAlign w:val="bottom"/>
          </w:tcPr>
          <w:p>
            <w:pPr>
              <w:jc w:val="center"/>
              <w:ind w:right="72"/>
              <w:spacing w:after="0"/>
              <w:rPr>
                <w:sz w:val="20"/>
                <w:szCs w:val="20"/>
                <w:color w:val="auto"/>
              </w:rPr>
            </w:pPr>
            <w:r>
              <w:rPr>
                <w:rFonts w:ascii="Times New Roman" w:cs="Times New Roman" w:eastAsia="Times New Roman" w:hAnsi="Times New Roman"/>
                <w:sz w:val="13"/>
                <w:szCs w:val="13"/>
                <w:color w:val="auto"/>
                <w:w w:val="98"/>
              </w:rPr>
              <w:t>(Former name or former address, if changed since last report)</w:t>
            </w:r>
          </w:p>
        </w:tc>
        <w:tc>
          <w:tcPr>
            <w:tcW w:w="1780" w:type="dxa"/>
            <w:vAlign w:val="bottom"/>
          </w:tcPr>
          <w:p>
            <w:pPr>
              <w:spacing w:after="0"/>
              <w:rPr>
                <w:sz w:val="14"/>
                <w:szCs w:val="14"/>
                <w:color w:val="auto"/>
              </w:rPr>
            </w:pPr>
          </w:p>
        </w:tc>
      </w:tr>
    </w:tbl>
    <w:p>
      <w:pPr>
        <w:spacing w:after="0" w:line="7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3"/>
          <w:szCs w:val="13"/>
          <w:color w:val="auto"/>
        </w:rPr>
        <w:t>Check the appropriate box below if the Form 8-K filing is intended to simultaneously satisfy the filing obligation of the registrant under any of the following provisions:</w:t>
      </w:r>
    </w:p>
    <w:p>
      <w:pPr>
        <w:spacing w:after="0" w:line="63" w:lineRule="exact"/>
        <w:rPr>
          <w:sz w:val="24"/>
          <w:szCs w:val="24"/>
          <w:color w:val="auto"/>
        </w:rPr>
      </w:pPr>
    </w:p>
    <w:p>
      <w:pPr>
        <w:ind w:left="700" w:hanging="639"/>
        <w:spacing w:after="0"/>
        <w:tabs>
          <w:tab w:leader="none" w:pos="700"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color w:val="auto"/>
        </w:rPr>
        <w:t>Written communications pursuant to Rule 425 under the Securities Act (17 CFR 230.425)</w:t>
      </w:r>
    </w:p>
    <w:p>
      <w:pPr>
        <w:spacing w:after="0" w:line="103" w:lineRule="exact"/>
        <w:rPr>
          <w:rFonts w:ascii="MS PGothic" w:cs="MS PGothic" w:eastAsia="MS PGothic" w:hAnsi="MS PGothic"/>
          <w:sz w:val="25"/>
          <w:szCs w:val="25"/>
          <w:color w:val="auto"/>
          <w:vertAlign w:val="superscript"/>
        </w:rPr>
      </w:pPr>
    </w:p>
    <w:p>
      <w:pPr>
        <w:ind w:left="700" w:hanging="639"/>
        <w:spacing w:after="0" w:line="181" w:lineRule="auto"/>
        <w:tabs>
          <w:tab w:leader="none" w:pos="700" w:val="left"/>
        </w:tabs>
        <w:numPr>
          <w:ilvl w:val="0"/>
          <w:numId w:val="1"/>
        </w:numPr>
        <w:rPr>
          <w:rFonts w:ascii="MS PGothic" w:cs="MS PGothic" w:eastAsia="MS PGothic" w:hAnsi="MS PGothic"/>
          <w:sz w:val="20"/>
          <w:szCs w:val="20"/>
          <w:color w:val="auto"/>
          <w:vertAlign w:val="superscript"/>
        </w:rPr>
      </w:pPr>
      <w:r>
        <w:rPr>
          <w:rFonts w:ascii="Times New Roman" w:cs="Times New Roman" w:eastAsia="Times New Roman" w:hAnsi="Times New Roman"/>
          <w:sz w:val="11"/>
          <w:szCs w:val="11"/>
          <w:color w:val="auto"/>
        </w:rPr>
        <w:t>Soliciting material pursuant to Rule 14a-12 under the Exchange Act (17 CFR 240.14a-12)</w:t>
      </w:r>
    </w:p>
    <w:p>
      <w:pPr>
        <w:spacing w:after="0" w:line="103" w:lineRule="exact"/>
        <w:rPr>
          <w:rFonts w:ascii="MS PGothic" w:cs="MS PGothic" w:eastAsia="MS PGothic" w:hAnsi="MS PGothic"/>
          <w:sz w:val="20"/>
          <w:szCs w:val="20"/>
          <w:color w:val="auto"/>
          <w:vertAlign w:val="superscript"/>
        </w:rPr>
      </w:pPr>
    </w:p>
    <w:p>
      <w:pPr>
        <w:ind w:left="700" w:hanging="639"/>
        <w:spacing w:after="0" w:line="181" w:lineRule="auto"/>
        <w:tabs>
          <w:tab w:leader="none" w:pos="700" w:val="left"/>
        </w:tabs>
        <w:numPr>
          <w:ilvl w:val="0"/>
          <w:numId w:val="1"/>
        </w:numPr>
        <w:rPr>
          <w:rFonts w:ascii="MS PGothic" w:cs="MS PGothic" w:eastAsia="MS PGothic" w:hAnsi="MS PGothic"/>
          <w:sz w:val="20"/>
          <w:szCs w:val="20"/>
          <w:color w:val="auto"/>
          <w:vertAlign w:val="superscript"/>
        </w:rPr>
      </w:pPr>
      <w:r>
        <w:rPr>
          <w:rFonts w:ascii="Times New Roman" w:cs="Times New Roman" w:eastAsia="Times New Roman" w:hAnsi="Times New Roman"/>
          <w:sz w:val="11"/>
          <w:szCs w:val="11"/>
          <w:color w:val="auto"/>
        </w:rPr>
        <w:t>Pre-commencement communications pursuant to Rule 14d-2(b) under the Exchange Act (17 CFR 240.14d-2(b))</w:t>
      </w:r>
    </w:p>
    <w:p>
      <w:pPr>
        <w:spacing w:after="0" w:line="103" w:lineRule="exact"/>
        <w:rPr>
          <w:rFonts w:ascii="MS PGothic" w:cs="MS PGothic" w:eastAsia="MS PGothic" w:hAnsi="MS PGothic"/>
          <w:sz w:val="20"/>
          <w:szCs w:val="20"/>
          <w:color w:val="auto"/>
          <w:vertAlign w:val="superscript"/>
        </w:rPr>
      </w:pPr>
    </w:p>
    <w:p>
      <w:pPr>
        <w:ind w:left="60" w:right="4880" w:firstLine="1"/>
        <w:spacing w:after="0" w:line="275" w:lineRule="auto"/>
        <w:tabs>
          <w:tab w:leader="none" w:pos="707" w:val="left"/>
        </w:tabs>
        <w:numPr>
          <w:ilvl w:val="0"/>
          <w:numId w:val="1"/>
        </w:numPr>
        <w:rPr>
          <w:rFonts w:ascii="MS PGothic" w:cs="MS PGothic" w:eastAsia="MS PGothic" w:hAnsi="MS PGothic"/>
          <w:sz w:val="25"/>
          <w:szCs w:val="25"/>
          <w:color w:val="auto"/>
          <w:vertAlign w:val="superscript"/>
        </w:rPr>
      </w:pPr>
      <w:r>
        <w:rPr>
          <w:rFonts w:ascii="Times New Roman" w:cs="Times New Roman" w:eastAsia="Times New Roman" w:hAnsi="Times New Roman"/>
          <w:sz w:val="13"/>
          <w:szCs w:val="13"/>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45"/>
        </w:trPr>
        <w:tc>
          <w:tcPr>
            <w:tcW w:w="4620" w:type="dxa"/>
            <w:vAlign w:val="bottom"/>
            <w:tcBorders>
              <w:top w:val="single" w:sz="8" w:color="auto"/>
              <w:left w:val="single" w:sz="8" w:color="auto"/>
              <w:bottom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3"/>
                <w:szCs w:val="13"/>
                <w:color w:val="auto"/>
                <w:w w:val="95"/>
              </w:rPr>
              <w:t>Title of each class</w:t>
            </w:r>
          </w:p>
        </w:tc>
        <w:tc>
          <w:tcPr>
            <w:tcW w:w="2640" w:type="dxa"/>
            <w:vAlign w:val="bottom"/>
            <w:tcBorders>
              <w:top w:val="single" w:sz="8" w:color="auto"/>
              <w:bottom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3"/>
                <w:szCs w:val="13"/>
                <w:color w:val="auto"/>
                <w:w w:val="97"/>
              </w:rPr>
              <w:t>Trading Symbol(s)</w:t>
            </w:r>
          </w:p>
        </w:tc>
        <w:tc>
          <w:tcPr>
            <w:tcW w:w="3960" w:type="dxa"/>
            <w:vAlign w:val="bottom"/>
            <w:tcBorders>
              <w:top w:val="single" w:sz="8" w:color="auto"/>
              <w:bottom w:val="single" w:sz="8" w:color="auto"/>
              <w:right w:val="single" w:sz="8" w:color="auto"/>
            </w:tcBorders>
          </w:tcPr>
          <w:p>
            <w:pPr>
              <w:jc w:val="center"/>
              <w:spacing w:after="0" w:line="145" w:lineRule="exact"/>
              <w:rPr>
                <w:sz w:val="20"/>
                <w:szCs w:val="20"/>
                <w:color w:val="auto"/>
              </w:rPr>
            </w:pPr>
            <w:r>
              <w:rPr>
                <w:rFonts w:ascii="Times New Roman" w:cs="Times New Roman" w:eastAsia="Times New Roman" w:hAnsi="Times New Roman"/>
                <w:sz w:val="13"/>
                <w:szCs w:val="13"/>
                <w:color w:val="auto"/>
                <w:w w:val="97"/>
              </w:rPr>
              <w:t>Name of each exchange on which registered</w:t>
            </w:r>
          </w:p>
        </w:tc>
      </w:tr>
      <w:tr>
        <w:trPr>
          <w:trHeight w:val="158"/>
        </w:trPr>
        <w:tc>
          <w:tcPr>
            <w:tcW w:w="46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Common Stock, par value $0.0001 per share</w:t>
            </w:r>
          </w:p>
        </w:tc>
        <w:tc>
          <w:tcPr>
            <w:tcW w:w="2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6"/>
              </w:rPr>
              <w:t>XERS</w:t>
            </w:r>
          </w:p>
        </w:tc>
        <w:tc>
          <w:tcPr>
            <w:tcW w:w="3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7"/>
              </w:rPr>
              <w:t>The Nasdaq Global Select Market</w:t>
            </w:r>
          </w:p>
        </w:tc>
      </w:tr>
    </w:tbl>
    <w:p>
      <w:pPr>
        <w:spacing w:after="0" w:line="191" w:lineRule="exact"/>
        <w:rPr>
          <w:sz w:val="24"/>
          <w:szCs w:val="24"/>
          <w:color w:val="auto"/>
        </w:rPr>
      </w:pPr>
    </w:p>
    <w:p>
      <w:pPr>
        <w:ind w:left="60" w:right="60"/>
        <w:spacing w:after="0" w:line="235" w:lineRule="auto"/>
        <w:rPr>
          <w:sz w:val="20"/>
          <w:szCs w:val="20"/>
          <w:color w:val="auto"/>
        </w:rPr>
      </w:pPr>
      <w:r>
        <w:rPr>
          <w:rFonts w:ascii="Times New Roman" w:cs="Times New Roman" w:eastAsia="Times New Roman" w:hAnsi="Times New Roman"/>
          <w:sz w:val="13"/>
          <w:szCs w:val="13"/>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51"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4"/>
          <w:szCs w:val="14"/>
          <w:color w:val="auto"/>
        </w:rPr>
        <w:t>☐</w:t>
      </w:r>
    </w:p>
    <w:p>
      <w:pPr>
        <w:spacing w:after="0" w:line="362" w:lineRule="exact"/>
        <w:rPr>
          <w:sz w:val="24"/>
          <w:szCs w:val="24"/>
          <w:color w:val="auto"/>
        </w:rPr>
      </w:pPr>
    </w:p>
    <w:p>
      <w:pPr>
        <w:spacing w:after="0" w:line="167"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732155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97790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71615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ectPr>
          <w:pgSz w:w="11900" w:h="16838" w:orient="portrait"/>
          <w:cols w:equalWidth="0" w:num="1">
            <w:col w:w="11280"/>
          </w:cols>
          <w:pgMar w:left="300" w:top="1189" w:right="319" w:bottom="1440" w:gutter="0" w:footer="0" w:header="0"/>
        </w:sectPr>
      </w:pPr>
    </w:p>
    <w:bookmarkStart w:id="1" w:name="page2"/>
    <w:bookmarkEnd w:id="1"/>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5.02</w:t>
      </w:r>
      <w:r>
        <w:rPr>
          <w:sz w:val="20"/>
          <w:szCs w:val="20"/>
          <w:color w:val="auto"/>
        </w:rPr>
        <w:tab/>
      </w:r>
      <w:r>
        <w:rPr>
          <w:rFonts w:ascii="Times New Roman" w:cs="Times New Roman" w:eastAsia="Times New Roman" w:hAnsi="Times New Roman"/>
          <w:sz w:val="12"/>
          <w:szCs w:val="12"/>
          <w:b w:val="1"/>
          <w:bCs w:val="1"/>
          <w:color w:val="auto"/>
        </w:rPr>
        <w:t>Departure of Directors or Certain Officers; Election of Directors; Appointment of Certain Officers; Compensatory Arrangements of Certain Officers.</w:t>
      </w:r>
    </w:p>
    <w:p>
      <w:pPr>
        <w:spacing w:after="0" w:line="8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3"/>
          <w:szCs w:val="13"/>
          <w:color w:val="auto"/>
        </w:rPr>
        <w:t>At the Xeris Biopharma Holdings, Inc. (the “Company”) 2024 Annual Meeting of stockholders held on June 5, 2024 (the “Annual Meeting”), the Company’s stockholders approved the First Amendment to the Xeris Pharmaceuticals, Inc. 2018 Employee Stock Purchase Plan (the “First Amendment to the ESPP”). The First Amendment to the ESPP (i) removes the “evergreen” provision which provides for annual increases in the aggregate number of shares available for issuance thereunder and (ii) increases the aggregate number of shares available thereunder by 6,636,632 additional shares.</w:t>
      </w:r>
    </w:p>
    <w:p>
      <w:pPr>
        <w:spacing w:after="0" w:line="6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3"/>
          <w:szCs w:val="13"/>
          <w:color w:val="auto"/>
        </w:rPr>
        <w:t>The foregoing description of the First Amendment to the ESPP is qualified in its entirety by reference to the full text of the First Amendment to the ESPP, a copy of which is filed as Exhibit 10.1 to this Current Report on Form 8-K and incorporated by reference.</w:t>
      </w:r>
    </w:p>
    <w:p>
      <w:pPr>
        <w:spacing w:after="0" w:line="51" w:lineRule="exact"/>
        <w:rPr>
          <w:sz w:val="20"/>
          <w:szCs w:val="20"/>
          <w:color w:val="auto"/>
        </w:rPr>
      </w:pPr>
    </w:p>
    <w:p>
      <w:pPr>
        <w:spacing w:after="0"/>
        <w:tabs>
          <w:tab w:leader="none" w:pos="660" w:val="left"/>
        </w:tabs>
        <w:rPr>
          <w:sz w:val="20"/>
          <w:szCs w:val="20"/>
          <w:color w:val="auto"/>
        </w:rPr>
      </w:pPr>
      <w:r>
        <w:rPr>
          <w:rFonts w:ascii="Times New Roman" w:cs="Times New Roman" w:eastAsia="Times New Roman" w:hAnsi="Times New Roman"/>
          <w:sz w:val="13"/>
          <w:szCs w:val="13"/>
          <w:b w:val="1"/>
          <w:bCs w:val="1"/>
          <w:color w:val="auto"/>
        </w:rPr>
        <w:t>Item 5.07</w:t>
      </w:r>
      <w:r>
        <w:rPr>
          <w:sz w:val="20"/>
          <w:szCs w:val="20"/>
          <w:color w:val="auto"/>
        </w:rPr>
        <w:tab/>
      </w:r>
      <w:r>
        <w:rPr>
          <w:rFonts w:ascii="Times New Roman" w:cs="Times New Roman" w:eastAsia="Times New Roman" w:hAnsi="Times New Roman"/>
          <w:sz w:val="12"/>
          <w:szCs w:val="12"/>
          <w:b w:val="1"/>
          <w:bCs w:val="1"/>
          <w:color w:val="auto"/>
        </w:rPr>
        <w:t>Submission of Matters to a Vote of Security Holders.</w:t>
      </w:r>
    </w:p>
    <w:p>
      <w:pPr>
        <w:spacing w:after="0" w:line="8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3"/>
          <w:szCs w:val="13"/>
          <w:color w:val="auto"/>
        </w:rPr>
        <w:t>The Company held its Annual Meeting on June 5, 2024. As of April 12, 2024, the record date for the Annual Meeting, there were 148,253,615 shares of the Company’s common stock outstanding and entitled to vote at the Annual Meeting. The Company’s stockholders voted on the following matters, which are described in detail in the Company’s Definitive Proxy Statement filed with the U.S. Securities and Exchange Commission on April 23, 2024: (i) to elect Paul R. Edick, Ricki Fairley and Marla S. Persky as Class III directors of the Company to serve until the 2027 Annual Meeting of Stockholders and until his or her successor has been duly elected and qualified, or until his or her earlier death, resignation or removal ("Proposal 1"); (ii) to ratify the appointment of Ernst &amp; Young LLP as the Company’s independent registered public accounting firm for the fiscal year ending December 31, 2024 ("Proposal 2"); to indicate, (iii) on a non-binding advisory basis, the preferred frequency of future stockholder advisory votes on the compensation of our named executive officers ("Proposal 3"); (iv) to approve, on a non-binding advisory basis, the compensation of our named executive officers ("Proposal 4") and (v) to approve an amendment to the Xeris Pharmaceuticals, Inc. 2018 employee stock purchase plan (1) to remove the "evergreen" provision which provides for annual increases in the aggregate number of shares available for issuance thereunder and (2) increase the aggregate number of shares available thereunder by 6,636,632 additional shares ("Proposal 5").</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stockholders approved the Class III director nominees recommended for election in Proposal 1 at the Annual Meeting. The Company’s stockholders voted for the Class III directors as follows*: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Class III Director Nominee</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4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120" w:type="dxa"/>
            <w:vAlign w:val="bottom"/>
            <w:gridSpan w:val="2"/>
          </w:tcPr>
          <w:p>
            <w:pPr>
              <w:ind w:left="700"/>
              <w:spacing w:after="0"/>
              <w:rPr>
                <w:sz w:val="20"/>
                <w:szCs w:val="20"/>
                <w:color w:val="auto"/>
              </w:rPr>
            </w:pPr>
            <w:r>
              <w:rPr>
                <w:rFonts w:ascii="Times New Roman" w:cs="Times New Roman" w:eastAsia="Times New Roman" w:hAnsi="Times New Roman"/>
                <w:sz w:val="13"/>
                <w:szCs w:val="13"/>
                <w:b w:val="1"/>
                <w:bCs w:val="1"/>
                <w:color w:val="auto"/>
              </w:rPr>
              <w:t>Withhold</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Broker Non-Votes</w:t>
            </w:r>
          </w:p>
        </w:tc>
      </w:tr>
      <w:tr>
        <w:trPr>
          <w:trHeight w:val="158"/>
        </w:trPr>
        <w:tc>
          <w:tcPr>
            <w:tcW w:w="20" w:type="dxa"/>
            <w:vAlign w:val="bottom"/>
          </w:tcPr>
          <w:p>
            <w:pPr>
              <w:spacing w:after="0"/>
              <w:rPr>
                <w:sz w:val="13"/>
                <w:szCs w:val="13"/>
                <w:color w:val="auto"/>
              </w:rPr>
            </w:pPr>
          </w:p>
        </w:tc>
        <w:tc>
          <w:tcPr>
            <w:tcW w:w="20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3"/>
                <w:szCs w:val="13"/>
                <w:color w:val="auto"/>
              </w:rPr>
              <w:t>Paul R. Edick</w:t>
            </w:r>
          </w:p>
        </w:tc>
        <w:tc>
          <w:tcPr>
            <w:tcW w:w="19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94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3"/>
                <w:szCs w:val="13"/>
                <w:color w:val="auto"/>
                <w:w w:val="99"/>
              </w:rPr>
              <w:t>58,524,066</w:t>
            </w:r>
          </w:p>
        </w:tc>
        <w:tc>
          <w:tcPr>
            <w:tcW w:w="200" w:type="dxa"/>
            <w:vAlign w:val="bottom"/>
          </w:tcPr>
          <w:p>
            <w:pPr>
              <w:spacing w:after="0"/>
              <w:rPr>
                <w:sz w:val="13"/>
                <w:szCs w:val="13"/>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9"/>
              </w:rPr>
              <w:t>6,505,672</w:t>
            </w:r>
          </w:p>
        </w:tc>
        <w:tc>
          <w:tcPr>
            <w:tcW w:w="200" w:type="dxa"/>
            <w:vAlign w:val="bottom"/>
          </w:tcPr>
          <w:p>
            <w:pPr>
              <w:spacing w:after="0"/>
              <w:rPr>
                <w:sz w:val="13"/>
                <w:szCs w:val="13"/>
                <w:color w:val="auto"/>
              </w:rPr>
            </w:pPr>
          </w:p>
        </w:tc>
        <w:tc>
          <w:tcPr>
            <w:tcW w:w="1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color w:val="auto"/>
                <w:w w:val="95"/>
              </w:rPr>
              <w:t>36,161,541</w:t>
            </w:r>
          </w:p>
        </w:tc>
      </w:tr>
      <w:tr>
        <w:trPr>
          <w:trHeight w:val="170"/>
        </w:trPr>
        <w:tc>
          <w:tcPr>
            <w:tcW w:w="2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Ricki Fairley</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3"/>
          </w:tcPr>
          <w:p>
            <w:pPr>
              <w:jc w:val="center"/>
              <w:ind w:left="116"/>
              <w:spacing w:after="0"/>
              <w:rPr>
                <w:sz w:val="20"/>
                <w:szCs w:val="20"/>
                <w:color w:val="auto"/>
              </w:rPr>
            </w:pPr>
            <w:r>
              <w:rPr>
                <w:rFonts w:ascii="Times New Roman" w:cs="Times New Roman" w:eastAsia="Times New Roman" w:hAnsi="Times New Roman"/>
                <w:sz w:val="13"/>
                <w:szCs w:val="13"/>
                <w:color w:val="auto"/>
                <w:w w:val="99"/>
              </w:rPr>
              <w:t>58,511,772</w:t>
            </w: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6,520,445</w:t>
            </w: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36,159,062</w:t>
            </w:r>
          </w:p>
        </w:tc>
      </w:tr>
      <w:tr>
        <w:trPr>
          <w:trHeight w:val="170"/>
        </w:trPr>
        <w:tc>
          <w:tcPr>
            <w:tcW w:w="20" w:type="dxa"/>
            <w:vAlign w:val="bottom"/>
          </w:tcPr>
          <w:p>
            <w:pPr>
              <w:spacing w:after="0"/>
              <w:rPr>
                <w:sz w:val="14"/>
                <w:szCs w:val="14"/>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Marla S. Persky</w:t>
            </w:r>
          </w:p>
        </w:tc>
        <w:tc>
          <w:tcPr>
            <w:tcW w:w="1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120" w:type="dxa"/>
            <w:vAlign w:val="bottom"/>
            <w:gridSpan w:val="3"/>
          </w:tcPr>
          <w:p>
            <w:pPr>
              <w:jc w:val="center"/>
              <w:ind w:left="116"/>
              <w:spacing w:after="0"/>
              <w:rPr>
                <w:sz w:val="20"/>
                <w:szCs w:val="20"/>
                <w:color w:val="auto"/>
              </w:rPr>
            </w:pPr>
            <w:r>
              <w:rPr>
                <w:rFonts w:ascii="Times New Roman" w:cs="Times New Roman" w:eastAsia="Times New Roman" w:hAnsi="Times New Roman"/>
                <w:sz w:val="13"/>
                <w:szCs w:val="13"/>
                <w:color w:val="auto"/>
                <w:w w:val="99"/>
              </w:rPr>
              <w:t>47,442,889</w:t>
            </w: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17,566,155</w:t>
            </w:r>
          </w:p>
        </w:tc>
        <w:tc>
          <w:tcPr>
            <w:tcW w:w="200" w:type="dxa"/>
            <w:vAlign w:val="bottom"/>
          </w:tcPr>
          <w:p>
            <w:pPr>
              <w:spacing w:after="0"/>
              <w:rPr>
                <w:sz w:val="14"/>
                <w:szCs w:val="14"/>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5"/>
              </w:rPr>
              <w:t>36,182,235</w:t>
            </w:r>
          </w:p>
        </w:tc>
      </w:tr>
      <w:tr>
        <w:trPr>
          <w:trHeight w:val="318"/>
        </w:trPr>
        <w:tc>
          <w:tcPr>
            <w:tcW w:w="7240" w:type="dxa"/>
            <w:vAlign w:val="bottom"/>
            <w:gridSpan w:val="10"/>
          </w:tcPr>
          <w:p>
            <w:pPr>
              <w:spacing w:after="0"/>
              <w:rPr>
                <w:sz w:val="20"/>
                <w:szCs w:val="20"/>
                <w:color w:val="auto"/>
              </w:rPr>
            </w:pPr>
            <w:r>
              <w:rPr>
                <w:rFonts w:ascii="Times New Roman" w:cs="Times New Roman" w:eastAsia="Times New Roman" w:hAnsi="Times New Roman"/>
                <w:sz w:val="13"/>
                <w:szCs w:val="13"/>
                <w:color w:val="auto"/>
              </w:rPr>
              <w:t>The Company’s stockholders approved Proposal 2. The votes cast at the Annual Meeting were as follows*:</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20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820" w:type="dxa"/>
            <w:vAlign w:val="bottom"/>
            <w:gridSpan w:val="3"/>
          </w:tcPr>
          <w:p>
            <w:pPr>
              <w:ind w:left="760"/>
              <w:spacing w:after="0"/>
              <w:rPr>
                <w:sz w:val="20"/>
                <w:szCs w:val="20"/>
                <w:color w:val="auto"/>
              </w:rPr>
            </w:pPr>
            <w:r>
              <w:rPr>
                <w:rFonts w:ascii="Times New Roman" w:cs="Times New Roman" w:eastAsia="Times New Roman" w:hAnsi="Times New Roman"/>
                <w:sz w:val="13"/>
                <w:szCs w:val="13"/>
                <w:b w:val="1"/>
                <w:bCs w:val="1"/>
                <w:color w:val="auto"/>
              </w:rPr>
              <w:t>Against</w:t>
            </w:r>
          </w:p>
        </w:tc>
        <w:tc>
          <w:tcPr>
            <w:tcW w:w="2320" w:type="dxa"/>
            <w:vAlign w:val="bottom"/>
            <w:gridSpan w:val="4"/>
          </w:tcPr>
          <w:p>
            <w:pPr>
              <w:ind w:left="60"/>
              <w:spacing w:after="0"/>
              <w:rPr>
                <w:sz w:val="20"/>
                <w:szCs w:val="20"/>
                <w:color w:val="auto"/>
              </w:rPr>
            </w:pPr>
            <w:r>
              <w:rPr>
                <w:rFonts w:ascii="Times New Roman" w:cs="Times New Roman" w:eastAsia="Times New Roman" w:hAnsi="Times New Roman"/>
                <w:sz w:val="13"/>
                <w:szCs w:val="13"/>
                <w:b w:val="1"/>
                <w:bCs w:val="1"/>
                <w:color w:val="auto"/>
              </w:rPr>
              <w:t>Abstain</w:t>
            </w:r>
          </w:p>
        </w:tc>
        <w:tc>
          <w:tcPr>
            <w:tcW w:w="1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18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rPr>
              <w:t>99,452,328</w:t>
            </w:r>
          </w:p>
        </w:tc>
        <w:tc>
          <w:tcPr>
            <w:tcW w:w="200" w:type="dxa"/>
            <w:vAlign w:val="bottom"/>
          </w:tcPr>
          <w:p>
            <w:pPr>
              <w:spacing w:after="0"/>
              <w:rPr>
                <w:sz w:val="13"/>
                <w:szCs w:val="13"/>
                <w:color w:val="auto"/>
              </w:rPr>
            </w:pPr>
          </w:p>
        </w:tc>
        <w:tc>
          <w:tcPr>
            <w:tcW w:w="19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3"/>
                <w:szCs w:val="13"/>
                <w:color w:val="auto"/>
              </w:rPr>
              <w:t>807,990</w:t>
            </w: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930,961</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stockholders approved Proposal 3. The votes cast at the Annual Meeting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Frequency of future stockholder advisory votes</w:t>
            </w:r>
          </w:p>
        </w:tc>
        <w:tc>
          <w:tcPr>
            <w:tcW w:w="1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gridSpan w:val="3"/>
          </w:tcPr>
          <w:p>
            <w:pPr>
              <w:ind w:left="360"/>
              <w:spacing w:after="0"/>
              <w:rPr>
                <w:sz w:val="20"/>
                <w:szCs w:val="20"/>
                <w:color w:val="auto"/>
              </w:rPr>
            </w:pPr>
            <w:r>
              <w:rPr>
                <w:rFonts w:ascii="Times New Roman" w:cs="Times New Roman" w:eastAsia="Times New Roman" w:hAnsi="Times New Roman"/>
                <w:sz w:val="13"/>
                <w:szCs w:val="13"/>
                <w:b w:val="1"/>
                <w:bCs w:val="1"/>
                <w:color w:val="auto"/>
              </w:rPr>
              <w:t>For</w:t>
            </w: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3"/>
          </w:tcPr>
          <w:p>
            <w:pPr>
              <w:ind w:left="700"/>
              <w:spacing w:after="0"/>
              <w:rPr>
                <w:sz w:val="20"/>
                <w:szCs w:val="20"/>
                <w:color w:val="auto"/>
              </w:rPr>
            </w:pPr>
            <w:r>
              <w:rPr>
                <w:rFonts w:ascii="Times New Roman" w:cs="Times New Roman" w:eastAsia="Times New Roman" w:hAnsi="Times New Roman"/>
                <w:sz w:val="13"/>
                <w:szCs w:val="13"/>
                <w:b w:val="1"/>
                <w:bCs w:val="1"/>
                <w:color w:val="auto"/>
              </w:rPr>
              <w:t>Withhold</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Broker Non-Votes</w:t>
            </w:r>
          </w:p>
        </w:tc>
      </w:tr>
      <w:tr>
        <w:trPr>
          <w:trHeight w:val="190"/>
        </w:trPr>
        <w:tc>
          <w:tcPr>
            <w:tcW w:w="20" w:type="dxa"/>
            <w:vAlign w:val="bottom"/>
          </w:tcPr>
          <w:p>
            <w:pPr>
              <w:spacing w:after="0"/>
              <w:rPr>
                <w:sz w:val="16"/>
                <w:szCs w:val="16"/>
                <w:color w:val="auto"/>
              </w:rPr>
            </w:pPr>
          </w:p>
        </w:tc>
        <w:tc>
          <w:tcPr>
            <w:tcW w:w="26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3"/>
                <w:szCs w:val="13"/>
                <w:color w:val="auto"/>
              </w:rPr>
              <w:t>one year</w:t>
            </w:r>
          </w:p>
        </w:tc>
        <w:tc>
          <w:tcPr>
            <w:tcW w:w="13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gridSpan w:val="3"/>
          </w:tcPr>
          <w:p>
            <w:pPr>
              <w:jc w:val="center"/>
              <w:ind w:right="60"/>
              <w:spacing w:after="0"/>
              <w:rPr>
                <w:sz w:val="20"/>
                <w:szCs w:val="20"/>
                <w:color w:val="auto"/>
              </w:rPr>
            </w:pPr>
            <w:r>
              <w:rPr>
                <w:rFonts w:ascii="Times New Roman" w:cs="Times New Roman" w:eastAsia="Times New Roman" w:hAnsi="Times New Roman"/>
                <w:sz w:val="13"/>
                <w:szCs w:val="13"/>
                <w:color w:val="auto"/>
                <w:w w:val="99"/>
              </w:rPr>
              <w:t>62,326,675</w:t>
            </w:r>
          </w:p>
        </w:tc>
        <w:tc>
          <w:tcPr>
            <w:tcW w:w="4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tcBorders>
              <w:top w:val="single" w:sz="8" w:color="auto"/>
            </w:tcBorders>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two years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center"/>
              <w:ind w:left="116"/>
              <w:spacing w:after="0"/>
              <w:rPr>
                <w:sz w:val="20"/>
                <w:szCs w:val="20"/>
                <w:color w:val="auto"/>
              </w:rPr>
            </w:pPr>
            <w:r>
              <w:rPr>
                <w:rFonts w:ascii="Times New Roman" w:cs="Times New Roman" w:eastAsia="Times New Roman" w:hAnsi="Times New Roman"/>
                <w:sz w:val="13"/>
                <w:szCs w:val="13"/>
                <w:color w:val="auto"/>
                <w:w w:val="99"/>
              </w:rPr>
              <w:t>419,074</w:t>
            </w:r>
          </w:p>
        </w:tc>
        <w:tc>
          <w:tcPr>
            <w:tcW w:w="240" w:type="dxa"/>
            <w:vAlign w:val="bottom"/>
          </w:tcPr>
          <w:p>
            <w:pPr>
              <w:spacing w:after="0"/>
              <w:rPr>
                <w:sz w:val="18"/>
                <w:szCs w:val="18"/>
                <w:color w:val="auto"/>
              </w:rPr>
            </w:pPr>
          </w:p>
        </w:tc>
        <w:tc>
          <w:tcPr>
            <w:tcW w:w="2580" w:type="dxa"/>
            <w:vAlign w:val="bottom"/>
            <w:gridSpan w:val="4"/>
          </w:tcPr>
          <w:p>
            <w:pPr>
              <w:ind w:left="1360"/>
              <w:spacing w:after="0"/>
              <w:rPr>
                <w:sz w:val="20"/>
                <w:szCs w:val="20"/>
                <w:color w:val="auto"/>
              </w:rPr>
            </w:pPr>
            <w:r>
              <w:rPr>
                <w:rFonts w:ascii="Times New Roman" w:cs="Times New Roman" w:eastAsia="Times New Roman" w:hAnsi="Times New Roman"/>
                <w:sz w:val="13"/>
                <w:szCs w:val="13"/>
                <w:color w:val="auto"/>
              </w:rPr>
              <w:t>1,375,197</w:t>
            </w:r>
          </w:p>
        </w:tc>
        <w:tc>
          <w:tcPr>
            <w:tcW w:w="200" w:type="dxa"/>
            <w:vAlign w:val="bottom"/>
          </w:tcPr>
          <w:p>
            <w:pPr>
              <w:spacing w:after="0"/>
              <w:rPr>
                <w:sz w:val="18"/>
                <w:szCs w:val="18"/>
                <w:color w:val="auto"/>
              </w:rPr>
            </w:pPr>
          </w:p>
        </w:tc>
        <w:tc>
          <w:tcPr>
            <w:tcW w:w="1920" w:type="dxa"/>
            <w:vAlign w:val="bottom"/>
          </w:tcPr>
          <w:p>
            <w:pPr>
              <w:jc w:val="right"/>
              <w:ind w:right="616"/>
              <w:spacing w:after="0"/>
              <w:rPr>
                <w:sz w:val="20"/>
                <w:szCs w:val="20"/>
                <w:color w:val="auto"/>
              </w:rPr>
            </w:pPr>
            <w:r>
              <w:rPr>
                <w:rFonts w:ascii="Times New Roman" w:cs="Times New Roman" w:eastAsia="Times New Roman" w:hAnsi="Times New Roman"/>
                <w:sz w:val="13"/>
                <w:szCs w:val="13"/>
                <w:color w:val="auto"/>
              </w:rPr>
              <w:t>36,159,062</w:t>
            </w:r>
          </w:p>
        </w:tc>
      </w:tr>
      <w:tr>
        <w:trPr>
          <w:trHeight w:val="212"/>
        </w:trPr>
        <w:tc>
          <w:tcPr>
            <w:tcW w:w="20" w:type="dxa"/>
            <w:vAlign w:val="bottom"/>
          </w:tcPr>
          <w:p>
            <w:pPr>
              <w:spacing w:after="0"/>
              <w:rPr>
                <w:sz w:val="18"/>
                <w:szCs w:val="18"/>
                <w:color w:val="auto"/>
              </w:rPr>
            </w:pPr>
          </w:p>
        </w:tc>
        <w:tc>
          <w:tcPr>
            <w:tcW w:w="26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three years</w:t>
            </w: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20" w:type="dxa"/>
            <w:vAlign w:val="bottom"/>
            <w:gridSpan w:val="2"/>
          </w:tcPr>
          <w:p>
            <w:pPr>
              <w:jc w:val="center"/>
              <w:ind w:left="116"/>
              <w:spacing w:after="0"/>
              <w:rPr>
                <w:sz w:val="20"/>
                <w:szCs w:val="20"/>
                <w:color w:val="auto"/>
              </w:rPr>
            </w:pPr>
            <w:r>
              <w:rPr>
                <w:rFonts w:ascii="Times New Roman" w:cs="Times New Roman" w:eastAsia="Times New Roman" w:hAnsi="Times New Roman"/>
                <w:sz w:val="13"/>
                <w:szCs w:val="13"/>
                <w:color w:val="auto"/>
                <w:w w:val="99"/>
              </w:rPr>
              <w:t>911,271</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308"/>
        </w:trPr>
        <w:tc>
          <w:tcPr>
            <w:tcW w:w="5620" w:type="dxa"/>
            <w:vAlign w:val="bottom"/>
            <w:gridSpan w:val="9"/>
          </w:tcPr>
          <w:p>
            <w:pPr>
              <w:spacing w:after="0"/>
              <w:rPr>
                <w:sz w:val="20"/>
                <w:szCs w:val="20"/>
                <w:color w:val="auto"/>
              </w:rPr>
            </w:pPr>
            <w:r>
              <w:rPr>
                <w:rFonts w:ascii="Times New Roman" w:cs="Times New Roman" w:eastAsia="Times New Roman" w:hAnsi="Times New Roman"/>
                <w:sz w:val="13"/>
                <w:szCs w:val="13"/>
                <w:color w:val="auto"/>
              </w:rPr>
              <w:t>The Company’s stockholders approved Proposal 4. The votes cast at the Annual Meeting were as follows*:</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tcPr>
          <w:p>
            <w:pPr>
              <w:spacing w:after="0"/>
              <w:rPr>
                <w:sz w:val="24"/>
                <w:szCs w:val="24"/>
                <w:color w:val="auto"/>
              </w:rPr>
            </w:pPr>
          </w:p>
        </w:tc>
      </w:tr>
      <w:tr>
        <w:trPr>
          <w:trHeight w:val="278"/>
        </w:trPr>
        <w:tc>
          <w:tcPr>
            <w:tcW w:w="20" w:type="dxa"/>
            <w:vAlign w:val="bottom"/>
          </w:tcPr>
          <w:p>
            <w:pPr>
              <w:spacing w:after="0"/>
              <w:rPr>
                <w:sz w:val="24"/>
                <w:szCs w:val="24"/>
                <w:color w:val="auto"/>
              </w:rPr>
            </w:pPr>
          </w:p>
        </w:tc>
        <w:tc>
          <w:tcPr>
            <w:tcW w:w="2680" w:type="dxa"/>
            <w:vAlign w:val="bottom"/>
            <w:gridSpan w:val="3"/>
          </w:tcPr>
          <w:p>
            <w:pPr>
              <w:jc w:val="center"/>
              <w:ind w:right="80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220" w:type="dxa"/>
            <w:vAlign w:val="bottom"/>
            <w:gridSpan w:val="3"/>
          </w:tcPr>
          <w:p>
            <w:pPr>
              <w:jc w:val="center"/>
              <w:ind w:right="1500"/>
              <w:spacing w:after="0"/>
              <w:rPr>
                <w:sz w:val="20"/>
                <w:szCs w:val="20"/>
                <w:color w:val="auto"/>
              </w:rPr>
            </w:pPr>
            <w:r>
              <w:rPr>
                <w:rFonts w:ascii="Times New Roman" w:cs="Times New Roman" w:eastAsia="Times New Roman" w:hAnsi="Times New Roman"/>
                <w:sz w:val="13"/>
                <w:szCs w:val="13"/>
                <w:b w:val="1"/>
                <w:bCs w:val="1"/>
                <w:color w:val="auto"/>
                <w:w w:val="93"/>
              </w:rPr>
              <w:t>Against</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Abstain</w:t>
            </w:r>
          </w:p>
        </w:tc>
        <w:tc>
          <w:tcPr>
            <w:tcW w:w="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gridSpan w:val="5"/>
          </w:tcPr>
          <w:p>
            <w:pPr>
              <w:jc w:val="center"/>
              <w:ind w:right="1360"/>
              <w:spacing w:after="0"/>
              <w:rPr>
                <w:sz w:val="20"/>
                <w:szCs w:val="20"/>
                <w:color w:val="auto"/>
              </w:rPr>
            </w:pPr>
            <w:r>
              <w:rPr>
                <w:rFonts w:ascii="Times New Roman" w:cs="Times New Roman" w:eastAsia="Times New Roman" w:hAnsi="Times New Roman"/>
                <w:sz w:val="13"/>
                <w:szCs w:val="13"/>
                <w:b w:val="1"/>
                <w:bCs w:val="1"/>
                <w:color w:val="auto"/>
                <w:w w:val="96"/>
              </w:rPr>
              <w:t>Broker Non-Votes</w:t>
            </w:r>
          </w:p>
        </w:tc>
        <w:tc>
          <w:tcPr>
            <w:tcW w:w="1920" w:type="dxa"/>
            <w:vAlign w:val="bottom"/>
          </w:tcPr>
          <w:p>
            <w:pPr>
              <w:spacing w:after="0"/>
              <w:rPr>
                <w:sz w:val="24"/>
                <w:szCs w:val="24"/>
                <w:color w:val="auto"/>
              </w:rPr>
            </w:pPr>
          </w:p>
        </w:tc>
      </w:tr>
      <w:tr>
        <w:trPr>
          <w:trHeight w:val="158"/>
        </w:trPr>
        <w:tc>
          <w:tcPr>
            <w:tcW w:w="20" w:type="dxa"/>
            <w:vAlign w:val="bottom"/>
          </w:tcPr>
          <w:p>
            <w:pPr>
              <w:spacing w:after="0"/>
              <w:rPr>
                <w:sz w:val="13"/>
                <w:szCs w:val="13"/>
                <w:color w:val="auto"/>
              </w:rPr>
            </w:pPr>
          </w:p>
        </w:tc>
        <w:tc>
          <w:tcPr>
            <w:tcW w:w="188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rPr>
              <w:t>57,804,619</w:t>
            </w:r>
          </w:p>
        </w:tc>
        <w:tc>
          <w:tcPr>
            <w:tcW w:w="200" w:type="dxa"/>
            <w:vAlign w:val="bottom"/>
          </w:tcPr>
          <w:p>
            <w:pPr>
              <w:spacing w:after="0"/>
              <w:rPr>
                <w:sz w:val="13"/>
                <w:szCs w:val="13"/>
                <w:color w:val="auto"/>
              </w:rPr>
            </w:pPr>
          </w:p>
        </w:tc>
        <w:tc>
          <w:tcPr>
            <w:tcW w:w="6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rPr>
              <w:t>6,665,428</w:t>
            </w:r>
          </w:p>
        </w:tc>
        <w:tc>
          <w:tcPr>
            <w:tcW w:w="200" w:type="dxa"/>
            <w:vAlign w:val="bottom"/>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color w:val="auto"/>
              </w:rPr>
              <w:t>562,170</w:t>
            </w:r>
          </w:p>
        </w:tc>
        <w:tc>
          <w:tcPr>
            <w:tcW w:w="52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gridSpan w:val="3"/>
          </w:tcPr>
          <w:p>
            <w:pPr>
              <w:jc w:val="right"/>
              <w:ind w:right="616"/>
              <w:spacing w:after="0"/>
              <w:rPr>
                <w:sz w:val="20"/>
                <w:szCs w:val="20"/>
                <w:color w:val="auto"/>
              </w:rPr>
            </w:pPr>
            <w:r>
              <w:rPr>
                <w:rFonts w:ascii="Times New Roman" w:cs="Times New Roman" w:eastAsia="Times New Roman" w:hAnsi="Times New Roman"/>
                <w:sz w:val="13"/>
                <w:szCs w:val="13"/>
                <w:color w:val="auto"/>
              </w:rPr>
              <w:t>36,159,062</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920" w:type="dxa"/>
            <w:vAlign w:val="bottom"/>
          </w:tcPr>
          <w:p>
            <w:pPr>
              <w:spacing w:after="0"/>
              <w:rPr>
                <w:sz w:val="13"/>
                <w:szCs w:val="13"/>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The Company’s stockholders approved Proposal 5. The votes cast at the Annual Meeting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8"/>
              </w:rPr>
              <w:t>For</w:t>
            </w:r>
          </w:p>
        </w:tc>
        <w:tc>
          <w:tcPr>
            <w:tcW w:w="21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3"/>
              </w:rPr>
              <w:t>Against</w:t>
            </w:r>
          </w:p>
        </w:tc>
        <w:tc>
          <w:tcPr>
            <w:tcW w:w="2120" w:type="dxa"/>
            <w:vAlign w:val="bottom"/>
            <w:gridSpan w:val="2"/>
          </w:tcPr>
          <w:p>
            <w:pPr>
              <w:ind w:left="740"/>
              <w:spacing w:after="0"/>
              <w:rPr>
                <w:sz w:val="20"/>
                <w:szCs w:val="20"/>
                <w:color w:val="auto"/>
              </w:rPr>
            </w:pPr>
            <w:r>
              <w:rPr>
                <w:rFonts w:ascii="Times New Roman" w:cs="Times New Roman" w:eastAsia="Times New Roman" w:hAnsi="Times New Roman"/>
                <w:sz w:val="13"/>
                <w:szCs w:val="13"/>
                <w:b w:val="1"/>
                <w:bCs w:val="1"/>
                <w:color w:val="auto"/>
              </w:rPr>
              <w:t>Abstain</w:t>
            </w:r>
          </w:p>
        </w:tc>
        <w:tc>
          <w:tcPr>
            <w:tcW w:w="19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Broker Non-Votes</w:t>
            </w:r>
          </w:p>
        </w:tc>
      </w:tr>
      <w:tr>
        <w:trPr>
          <w:trHeight w:val="158"/>
        </w:trPr>
        <w:tc>
          <w:tcPr>
            <w:tcW w:w="1900" w:type="dxa"/>
            <w:vAlign w:val="bottom"/>
            <w:tcBorders>
              <w:top w:val="single" w:sz="8" w:color="auto"/>
            </w:tcBorders>
          </w:tcPr>
          <w:p>
            <w:pPr>
              <w:jc w:val="right"/>
              <w:ind w:right="596"/>
              <w:spacing w:after="0"/>
              <w:rPr>
                <w:sz w:val="20"/>
                <w:szCs w:val="20"/>
                <w:color w:val="auto"/>
              </w:rPr>
            </w:pPr>
            <w:r>
              <w:rPr>
                <w:rFonts w:ascii="Times New Roman" w:cs="Times New Roman" w:eastAsia="Times New Roman" w:hAnsi="Times New Roman"/>
                <w:sz w:val="13"/>
                <w:szCs w:val="13"/>
                <w:color w:val="auto"/>
              </w:rPr>
              <w:t>57,574,020</w:t>
            </w:r>
          </w:p>
        </w:tc>
        <w:tc>
          <w:tcPr>
            <w:tcW w:w="200" w:type="dxa"/>
            <w:vAlign w:val="bottom"/>
          </w:tcPr>
          <w:p>
            <w:pPr>
              <w:spacing w:after="0"/>
              <w:rPr>
                <w:sz w:val="13"/>
                <w:szCs w:val="13"/>
                <w:color w:val="auto"/>
              </w:rPr>
            </w:pPr>
          </w:p>
        </w:tc>
        <w:tc>
          <w:tcPr>
            <w:tcW w:w="1920" w:type="dxa"/>
            <w:vAlign w:val="bottom"/>
            <w:tcBorders>
              <w:top w:val="single" w:sz="8" w:color="auto"/>
            </w:tcBorders>
          </w:tcPr>
          <w:p>
            <w:pPr>
              <w:jc w:val="right"/>
              <w:ind w:right="636"/>
              <w:spacing w:after="0"/>
              <w:rPr>
                <w:sz w:val="20"/>
                <w:szCs w:val="20"/>
                <w:color w:val="auto"/>
              </w:rPr>
            </w:pPr>
            <w:r>
              <w:rPr>
                <w:rFonts w:ascii="Times New Roman" w:cs="Times New Roman" w:eastAsia="Times New Roman" w:hAnsi="Times New Roman"/>
                <w:sz w:val="13"/>
                <w:szCs w:val="13"/>
                <w:color w:val="auto"/>
              </w:rPr>
              <w:t>6,941,808</w:t>
            </w:r>
          </w:p>
        </w:tc>
        <w:tc>
          <w:tcPr>
            <w:tcW w:w="200" w:type="dxa"/>
            <w:vAlign w:val="bottom"/>
          </w:tcPr>
          <w:p>
            <w:pPr>
              <w:spacing w:after="0"/>
              <w:rPr>
                <w:sz w:val="13"/>
                <w:szCs w:val="13"/>
                <w:color w:val="auto"/>
              </w:rPr>
            </w:pPr>
          </w:p>
        </w:tc>
        <w:tc>
          <w:tcPr>
            <w:tcW w:w="1920" w:type="dxa"/>
            <w:vAlign w:val="bottom"/>
            <w:tcBorders>
              <w:top w:val="single" w:sz="8" w:color="auto"/>
            </w:tcBorders>
          </w:tcPr>
          <w:p>
            <w:pPr>
              <w:ind w:left="760"/>
              <w:spacing w:after="0"/>
              <w:rPr>
                <w:sz w:val="20"/>
                <w:szCs w:val="20"/>
                <w:color w:val="auto"/>
              </w:rPr>
            </w:pPr>
            <w:r>
              <w:rPr>
                <w:rFonts w:ascii="Times New Roman" w:cs="Times New Roman" w:eastAsia="Times New Roman" w:hAnsi="Times New Roman"/>
                <w:sz w:val="13"/>
                <w:szCs w:val="13"/>
                <w:color w:val="auto"/>
              </w:rPr>
              <w:t>516,389</w:t>
            </w:r>
          </w:p>
        </w:tc>
        <w:tc>
          <w:tcPr>
            <w:tcW w:w="200" w:type="dxa"/>
            <w:vAlign w:val="bottom"/>
          </w:tcPr>
          <w:p>
            <w:pPr>
              <w:spacing w:after="0"/>
              <w:rPr>
                <w:sz w:val="13"/>
                <w:szCs w:val="13"/>
                <w:color w:val="auto"/>
              </w:rPr>
            </w:pPr>
          </w:p>
        </w:tc>
        <w:tc>
          <w:tcPr>
            <w:tcW w:w="1920" w:type="dxa"/>
            <w:vAlign w:val="bottom"/>
            <w:tcBorders>
              <w:top w:val="single" w:sz="8" w:color="auto"/>
            </w:tcBorders>
          </w:tcPr>
          <w:p>
            <w:pPr>
              <w:jc w:val="right"/>
              <w:ind w:right="616"/>
              <w:spacing w:after="0"/>
              <w:rPr>
                <w:sz w:val="20"/>
                <w:szCs w:val="20"/>
                <w:color w:val="auto"/>
              </w:rPr>
            </w:pPr>
            <w:r>
              <w:rPr>
                <w:rFonts w:ascii="Times New Roman" w:cs="Times New Roman" w:eastAsia="Times New Roman" w:hAnsi="Times New Roman"/>
                <w:sz w:val="13"/>
                <w:szCs w:val="13"/>
                <w:color w:val="auto"/>
              </w:rPr>
              <w:t>36,159,062</w:t>
            </w: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*Fractional shares have been rounded to the nearest whole number.</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No other matters were submitted to or voted on by the Company’s stockholders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485140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6" w:right="31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color w:val="auto"/>
        </w:rPr>
        <w:t>Item 9.01 Financial Statements and Exhibits.</w:t>
      </w:r>
    </w:p>
    <w:p>
      <w:pPr>
        <w:sectPr>
          <w:pgSz w:w="11900" w:h="16838" w:orient="portrait"/>
          <w:cols w:equalWidth="0" w:num="1">
            <w:col w:w="10159"/>
          </w:cols>
          <w:pgMar w:left="300" w:top="1088" w:right="1440" w:bottom="1440" w:gutter="0" w:footer="0" w:header="0"/>
        </w:sectPr>
      </w:pPr>
    </w:p>
    <w:p>
      <w:pPr>
        <w:spacing w:after="0" w:line="83" w:lineRule="exact"/>
        <w:rPr>
          <w:sz w:val="20"/>
          <w:szCs w:val="20"/>
          <w:color w:val="auto"/>
        </w:rPr>
      </w:pPr>
    </w:p>
    <w:p>
      <w:pPr>
        <w:ind w:left="20" w:right="740" w:hanging="15"/>
        <w:spacing w:after="0" w:line="322" w:lineRule="auto"/>
        <w:tabs>
          <w:tab w:leader="none" w:pos="214" w:val="left"/>
        </w:tabs>
        <w:numPr>
          <w:ilvl w:val="0"/>
          <w:numId w:val="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 xml:space="preserve">Exhibits Exhibit Number </w:t>
      </w:r>
      <w:r>
        <w:rPr>
          <w:rFonts w:ascii="Times New Roman" w:cs="Times New Roman" w:eastAsia="Times New Roman" w:hAnsi="Times New Roman"/>
          <w:sz w:val="14"/>
          <w:szCs w:val="14"/>
          <w:color w:val="auto"/>
        </w:rPr>
        <w:t>10.1 104</w:t>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64" w:lineRule="exact"/>
        <w:rPr>
          <w:sz w:val="20"/>
          <w:szCs w:val="20"/>
          <w:color w:val="auto"/>
        </w:rPr>
      </w:pPr>
    </w:p>
    <w:p>
      <w:pPr>
        <w:ind w:right="2839"/>
        <w:spacing w:after="0" w:line="303" w:lineRule="auto"/>
        <w:rPr>
          <w:sz w:val="20"/>
          <w:szCs w:val="20"/>
          <w:color w:val="auto"/>
        </w:rPr>
      </w:pPr>
      <w:r>
        <w:rPr>
          <w:rFonts w:ascii="Times New Roman" w:cs="Times New Roman" w:eastAsia="Times New Roman" w:hAnsi="Times New Roman"/>
          <w:sz w:val="14"/>
          <w:szCs w:val="14"/>
          <w:u w:val="single" w:color="auto"/>
          <w:color w:val="0000FF"/>
        </w:rPr>
        <w:t xml:space="preserve">First Amendment to Xeris Pharmaceuticals, Inc. 2018 Employee Stock Purchase Plan </w:t>
      </w:r>
      <w:r>
        <w:rPr>
          <w:rFonts w:ascii="Times New Roman" w:cs="Times New Roman" w:eastAsia="Times New Roman" w:hAnsi="Times New Roman"/>
          <w:sz w:val="14"/>
          <w:szCs w:val="14"/>
          <w:color w:val="000000"/>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-1570990</wp:posOffset>
            </wp:positionH>
            <wp:positionV relativeFrom="paragraph">
              <wp:posOffset>506730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2">
            <w:col w:w="1740" w:space="720"/>
            <w:col w:w="7699"/>
          </w:cols>
          <w:pgMar w:left="300" w:top="1088" w:right="1440" w:bottom="1440" w:gutter="0" w:footer="0" w:header="0"/>
          <w:type w:val="continuous"/>
        </w:sectPr>
      </w:pPr>
    </w:p>
    <w:bookmarkStart w:id="3" w:name="page4"/>
    <w:bookmarkEnd w:id="3"/>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hereunto duly authorized.</w:t>
      </w:r>
    </w:p>
    <w:p>
      <w:pPr>
        <w:spacing w:after="0" w:line="230" w:lineRule="exact"/>
        <w:rPr>
          <w:sz w:val="20"/>
          <w:szCs w:val="20"/>
          <w:color w:val="auto"/>
        </w:rPr>
      </w:pPr>
    </w:p>
    <w:p>
      <w:pPr>
        <w:spacing w:after="0"/>
        <w:tabs>
          <w:tab w:leader="none" w:pos="6440" w:val="left"/>
        </w:tabs>
        <w:rPr>
          <w:sz w:val="20"/>
          <w:szCs w:val="20"/>
          <w:color w:val="auto"/>
        </w:rPr>
      </w:pPr>
      <w:r>
        <w:rPr>
          <w:rFonts w:ascii="Times New Roman" w:cs="Times New Roman" w:eastAsia="Times New Roman" w:hAnsi="Times New Roman"/>
          <w:sz w:val="14"/>
          <w:szCs w:val="14"/>
          <w:color w:val="auto"/>
        </w:rPr>
        <w:t>Date: June 5, 2024</w:t>
      </w:r>
      <w:r>
        <w:rPr>
          <w:sz w:val="20"/>
          <w:szCs w:val="20"/>
          <w:color w:val="auto"/>
        </w:rPr>
        <w:tab/>
      </w:r>
      <w:r>
        <w:rPr>
          <w:rFonts w:ascii="Times New Roman" w:cs="Times New Roman" w:eastAsia="Times New Roman" w:hAnsi="Times New Roman"/>
          <w:sz w:val="14"/>
          <w:szCs w:val="14"/>
          <w:b w:val="1"/>
          <w:bCs w:val="1"/>
          <w:color w:val="auto"/>
        </w:rPr>
        <w:t>Xeris Biopharma Holdings, Inc.</w:t>
      </w:r>
    </w:p>
    <w:p>
      <w:pPr>
        <w:spacing w:after="0" w:line="138" w:lineRule="exact"/>
        <w:rPr>
          <w:sz w:val="20"/>
          <w:szCs w:val="20"/>
          <w:color w:val="auto"/>
        </w:rPr>
      </w:pPr>
    </w:p>
    <w:p>
      <w:pPr>
        <w:ind w:left="6460"/>
        <w:spacing w:after="0"/>
        <w:tabs>
          <w:tab w:leader="none" w:pos="6880" w:val="left"/>
        </w:tabs>
        <w:rPr>
          <w:sz w:val="20"/>
          <w:szCs w:val="20"/>
          <w:color w:val="auto"/>
        </w:rPr>
      </w:pP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Steven M. Pieper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14605</wp:posOffset>
            </wp:positionV>
            <wp:extent cx="2304415"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04415" cy="6985"/>
                    </a:xfrm>
                    <a:prstGeom prst="rect">
                      <a:avLst/>
                    </a:prstGeom>
                    <a:noFill/>
                  </pic:spPr>
                </pic:pic>
              </a:graphicData>
            </a:graphic>
          </wp:anchor>
        </w:drawing>
      </w:r>
    </w:p>
    <w:p>
      <w:pPr>
        <w:spacing w:after="0" w:line="10"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Name: Steven M. Pieper</w:t>
      </w:r>
    </w:p>
    <w:p>
      <w:pPr>
        <w:spacing w:after="0" w:line="2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4"/>
          <w:szCs w:val="14"/>
          <w:color w:val="auto"/>
        </w:rPr>
        <w:t xml:space="preserve">Title: </w:t>
      </w:r>
      <w:r>
        <w:rPr>
          <w:rFonts w:ascii="Times New Roman" w:cs="Times New Roman" w:eastAsia="Times New Roman" w:hAnsi="Times New Roman"/>
          <w:sz w:val="14"/>
          <w:szCs w:val="14"/>
          <w:i w:val="1"/>
          <w:iCs w:val="1"/>
          <w:color w:val="auto"/>
        </w:rPr>
        <w:t>Chief Financial Officer</w:t>
      </w:r>
    </w:p>
    <w:p>
      <w:pPr>
        <w:sectPr>
          <w:pgSz w:w="11900" w:h="16838" w:orient="portrait"/>
          <w:cols w:equalWidth="0" w:num="1">
            <w:col w:w="10280"/>
          </w:cols>
          <w:pgMar w:left="820" w:top="728" w:right="799" w:bottom="1440"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2024-06-05T15:20:44Z</dcterms:created>
  <dcterms:modified xsi:type="dcterms:W3CDTF">2024-06-05T15:20:44Z</dcterms:modified>
</cp:coreProperties>
</file>