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McCulloch Kevin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60"/>
        <w:spacing w:after="0" w:line="365" w:lineRule="auto"/>
        <w:rPr>
          <w:sz w:val="20"/>
          <w:szCs w:val="20"/>
          <w:color w:val="auto"/>
        </w:rPr>
      </w:pPr>
      <w:r>
        <w:rPr>
          <w:rFonts w:ascii="Times New Roman" w:cs="Times New Roman" w:eastAsia="Times New Roman" w:hAnsi="Times New Roman"/>
          <w:sz w:val="17"/>
          <w:szCs w:val="17"/>
          <w:color w:val="0000FF"/>
        </w:rPr>
        <w:t>C/O XERIS BIOPHARMA HOLDINGS, INC. 1375 WEST FULTON STREET, SUITE 1300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60607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Xeris Biopharma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XERS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94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10/02/2025</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10/02/2025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w w:val="98"/>
                <w:vertAlign w:val="subscript"/>
              </w:rPr>
              <w:t>733</w:t>
            </w:r>
            <w:r>
              <w:rPr>
                <w:rFonts w:ascii="Times New Roman" w:cs="Times New Roman" w:eastAsia="Times New Roman" w:hAnsi="Times New Roman"/>
                <w:sz w:val="11"/>
                <w:szCs w:val="11"/>
                <w:color w:val="008000"/>
                <w:w w:val="98"/>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8.31</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1,700,426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25,000</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its income tax and withholding and remittance obligations in connection with the net settlement of restricted stock units vested as of October 2, 2025.</w:t>
      </w:r>
    </w:p>
    <w:p>
      <w:pPr>
        <w:spacing w:after="0" w:line="7"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President and Chief Operating Officer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Beth Hecht, Attorney-in-</w:t>
            </w:r>
          </w:p>
        </w:tc>
        <w:tc>
          <w:tcPr>
            <w:tcW w:w="1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10/03/2025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1695" TargetMode="External"/><Relationship Id="rId14" Type="http://schemas.openxmlformats.org/officeDocument/2006/relationships/hyperlink" Target="http://www.sec.gov/cgi-bin/browse-edgar?action=getcompany&amp;CIK=00018670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2025-10-03T16:23:55Z</dcterms:created>
  <dcterms:modified xsi:type="dcterms:W3CDTF">2025-10-03T16:23:55Z</dcterms:modified>
</cp:coreProperties>
</file>