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697230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8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June 7, 2023</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XERIS BIOPHARMA HOLDINGS, INC.</w:t>
      </w:r>
    </w:p>
    <w:p>
      <w:pPr>
        <w:spacing w:after="0" w:line="291" w:lineRule="exact"/>
        <w:rPr>
          <w:sz w:val="24"/>
          <w:szCs w:val="24"/>
          <w:color w:val="auto"/>
        </w:rPr>
      </w:pPr>
    </w:p>
    <w:tbl>
      <w:tblPr>
        <w:tblLayout w:type="fixed"/>
        <w:tblInd w:w="98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p>
        </w:tc>
        <w:tc>
          <w:tcPr>
            <w:tcW w:w="4940" w:type="dxa"/>
            <w:vAlign w:val="bottom"/>
          </w:tcPr>
          <w:p>
            <w:pPr>
              <w:jc w:val="center"/>
              <w:ind w:right="94"/>
              <w:spacing w:after="0"/>
              <w:rPr>
                <w:sz w:val="20"/>
                <w:szCs w:val="20"/>
                <w:color w:val="auto"/>
              </w:rPr>
            </w:pPr>
            <w:r>
              <w:rPr>
                <w:rFonts w:ascii="Arial" w:cs="Arial" w:eastAsia="Arial" w:hAnsi="Arial"/>
                <w:sz w:val="18"/>
                <w:szCs w:val="18"/>
                <w:color w:val="auto"/>
                <w:w w:val="90"/>
              </w:rPr>
              <w:t>(Exact name of registrant as specified in its charter)</w:t>
            </w:r>
          </w:p>
        </w:tc>
        <w:tc>
          <w:tcPr>
            <w:tcW w:w="1760" w:type="dxa"/>
            <w:vAlign w:val="bottom"/>
          </w:tcPr>
          <w:p>
            <w:pPr>
              <w:spacing w:after="0"/>
              <w:rPr>
                <w:sz w:val="20"/>
                <w:szCs w:val="20"/>
                <w:color w:val="auto"/>
              </w:rPr>
            </w:pPr>
          </w:p>
        </w:tc>
      </w:tr>
      <w:tr>
        <w:trPr>
          <w:trHeight w:val="257"/>
        </w:trPr>
        <w:tc>
          <w:tcPr>
            <w:tcW w:w="2260" w:type="dxa"/>
            <w:vAlign w:val="bottom"/>
          </w:tcPr>
          <w:p>
            <w:pPr>
              <w:jc w:val="center"/>
              <w:ind w:right="316"/>
              <w:spacing w:after="0"/>
              <w:rPr>
                <w:sz w:val="20"/>
                <w:szCs w:val="20"/>
                <w:color w:val="auto"/>
              </w:rPr>
            </w:pPr>
            <w:r>
              <w:rPr>
                <w:rFonts w:ascii="Arial" w:cs="Arial" w:eastAsia="Arial" w:hAnsi="Arial"/>
                <w:sz w:val="18"/>
                <w:szCs w:val="18"/>
                <w:b w:val="1"/>
                <w:bCs w:val="1"/>
                <w:color w:val="auto"/>
                <w:w w:val="93"/>
              </w:rPr>
              <w:t>Delaware</w:t>
            </w:r>
          </w:p>
        </w:tc>
        <w:tc>
          <w:tcPr>
            <w:tcW w:w="4940" w:type="dxa"/>
            <w:vAlign w:val="bottom"/>
          </w:tcPr>
          <w:p>
            <w:pPr>
              <w:jc w:val="right"/>
              <w:ind w:right="2074"/>
              <w:spacing w:after="0"/>
              <w:rPr>
                <w:sz w:val="20"/>
                <w:szCs w:val="20"/>
                <w:color w:val="auto"/>
              </w:rPr>
            </w:pPr>
            <w:r>
              <w:rPr>
                <w:rFonts w:ascii="Arial" w:cs="Arial" w:eastAsia="Arial" w:hAnsi="Arial"/>
                <w:sz w:val="18"/>
                <w:szCs w:val="18"/>
                <w:b w:val="1"/>
                <w:bCs w:val="1"/>
                <w:color w:val="auto"/>
              </w:rPr>
              <w:t>001-40880</w:t>
            </w:r>
          </w:p>
        </w:tc>
        <w:tc>
          <w:tcPr>
            <w:tcW w:w="1760" w:type="dxa"/>
            <w:vAlign w:val="bottom"/>
          </w:tcPr>
          <w:p>
            <w:pPr>
              <w:jc w:val="center"/>
              <w:ind w:left="456"/>
              <w:spacing w:after="0"/>
              <w:rPr>
                <w:sz w:val="20"/>
                <w:szCs w:val="20"/>
                <w:color w:val="auto"/>
              </w:rPr>
            </w:pPr>
            <w:r>
              <w:rPr>
                <w:rFonts w:ascii="Arial" w:cs="Arial" w:eastAsia="Arial" w:hAnsi="Arial"/>
                <w:sz w:val="18"/>
                <w:szCs w:val="18"/>
                <w:b w:val="1"/>
                <w:bCs w:val="1"/>
                <w:color w:val="auto"/>
                <w:w w:val="89"/>
              </w:rPr>
              <w:t>87-1082097</w:t>
            </w:r>
          </w:p>
        </w:tc>
      </w:tr>
      <w:tr>
        <w:trPr>
          <w:trHeight w:val="166"/>
        </w:trPr>
        <w:tc>
          <w:tcPr>
            <w:tcW w:w="2260" w:type="dxa"/>
            <w:vAlign w:val="bottom"/>
          </w:tcPr>
          <w:p>
            <w:pPr>
              <w:jc w:val="center"/>
              <w:ind w:right="296"/>
              <w:spacing w:after="0" w:line="166" w:lineRule="exact"/>
              <w:rPr>
                <w:sz w:val="20"/>
                <w:szCs w:val="20"/>
                <w:color w:val="auto"/>
              </w:rPr>
            </w:pPr>
            <w:r>
              <w:rPr>
                <w:rFonts w:ascii="Arial" w:cs="Arial" w:eastAsia="Arial" w:hAnsi="Arial"/>
                <w:sz w:val="16"/>
                <w:szCs w:val="16"/>
                <w:color w:val="auto"/>
                <w:w w:val="93"/>
              </w:rPr>
              <w:t>(State or other jurisdiction of</w:t>
            </w:r>
          </w:p>
        </w:tc>
        <w:tc>
          <w:tcPr>
            <w:tcW w:w="4940" w:type="dxa"/>
            <w:vAlign w:val="bottom"/>
          </w:tcPr>
          <w:p>
            <w:pPr>
              <w:jc w:val="center"/>
              <w:ind w:right="94"/>
              <w:spacing w:after="0" w:line="166" w:lineRule="exact"/>
              <w:rPr>
                <w:sz w:val="20"/>
                <w:szCs w:val="20"/>
                <w:color w:val="auto"/>
              </w:rPr>
            </w:pPr>
            <w:r>
              <w:rPr>
                <w:rFonts w:ascii="Arial" w:cs="Arial" w:eastAsia="Arial" w:hAnsi="Arial"/>
                <w:sz w:val="16"/>
                <w:szCs w:val="16"/>
                <w:color w:val="auto"/>
                <w:w w:val="94"/>
              </w:rPr>
              <w:t>(Commission</w:t>
            </w:r>
          </w:p>
        </w:tc>
        <w:tc>
          <w:tcPr>
            <w:tcW w:w="1760" w:type="dxa"/>
            <w:vAlign w:val="bottom"/>
          </w:tcPr>
          <w:p>
            <w:pPr>
              <w:jc w:val="center"/>
              <w:ind w:left="456"/>
              <w:spacing w:after="0" w:line="166" w:lineRule="exact"/>
              <w:rPr>
                <w:sz w:val="20"/>
                <w:szCs w:val="20"/>
                <w:color w:val="auto"/>
              </w:rPr>
            </w:pPr>
            <w:r>
              <w:rPr>
                <w:rFonts w:ascii="Arial" w:cs="Arial" w:eastAsia="Arial" w:hAnsi="Arial"/>
                <w:sz w:val="16"/>
                <w:szCs w:val="16"/>
                <w:color w:val="auto"/>
                <w:w w:val="93"/>
              </w:rPr>
              <w:t>(I.R.S. Employer</w:t>
            </w:r>
          </w:p>
        </w:tc>
      </w:tr>
      <w:tr>
        <w:trPr>
          <w:trHeight w:val="206"/>
        </w:trPr>
        <w:tc>
          <w:tcPr>
            <w:tcW w:w="2260" w:type="dxa"/>
            <w:vAlign w:val="bottom"/>
          </w:tcPr>
          <w:p>
            <w:pPr>
              <w:jc w:val="center"/>
              <w:ind w:right="316"/>
              <w:spacing w:after="0"/>
              <w:rPr>
                <w:sz w:val="20"/>
                <w:szCs w:val="20"/>
                <w:color w:val="auto"/>
              </w:rPr>
            </w:pPr>
            <w:r>
              <w:rPr>
                <w:rFonts w:ascii="Arial" w:cs="Arial" w:eastAsia="Arial" w:hAnsi="Arial"/>
                <w:sz w:val="16"/>
                <w:szCs w:val="16"/>
                <w:color w:val="auto"/>
                <w:w w:val="96"/>
              </w:rPr>
              <w:t>incorporation)</w:t>
            </w:r>
          </w:p>
        </w:tc>
        <w:tc>
          <w:tcPr>
            <w:tcW w:w="4940" w:type="dxa"/>
            <w:vAlign w:val="bottom"/>
          </w:tcPr>
          <w:p>
            <w:pPr>
              <w:jc w:val="center"/>
              <w:ind w:right="94"/>
              <w:spacing w:after="0"/>
              <w:rPr>
                <w:sz w:val="20"/>
                <w:szCs w:val="20"/>
                <w:color w:val="auto"/>
              </w:rPr>
            </w:pPr>
            <w:r>
              <w:rPr>
                <w:rFonts w:ascii="Arial" w:cs="Arial" w:eastAsia="Arial" w:hAnsi="Arial"/>
                <w:sz w:val="16"/>
                <w:szCs w:val="16"/>
                <w:color w:val="auto"/>
                <w:w w:val="95"/>
              </w:rPr>
              <w:t>File Number)</w:t>
            </w:r>
          </w:p>
        </w:tc>
        <w:tc>
          <w:tcPr>
            <w:tcW w:w="1760" w:type="dxa"/>
            <w:vAlign w:val="bottom"/>
          </w:tcPr>
          <w:p>
            <w:pPr>
              <w:jc w:val="center"/>
              <w:ind w:left="476"/>
              <w:spacing w:after="0"/>
              <w:rPr>
                <w:sz w:val="20"/>
                <w:szCs w:val="20"/>
                <w:color w:val="auto"/>
              </w:rPr>
            </w:pPr>
            <w:r>
              <w:rPr>
                <w:rFonts w:ascii="Arial" w:cs="Arial" w:eastAsia="Arial" w:hAnsi="Arial"/>
                <w:sz w:val="16"/>
                <w:szCs w:val="16"/>
                <w:color w:val="auto"/>
                <w:w w:val="96"/>
              </w:rPr>
              <w:t>Identification No.)</w:t>
            </w:r>
          </w:p>
        </w:tc>
      </w:tr>
      <w:tr>
        <w:trPr>
          <w:trHeight w:val="541"/>
        </w:trPr>
        <w:tc>
          <w:tcPr>
            <w:tcW w:w="2260" w:type="dxa"/>
            <w:vAlign w:val="bottom"/>
          </w:tcPr>
          <w:p>
            <w:pPr>
              <w:spacing w:after="0"/>
              <w:rPr>
                <w:sz w:val="24"/>
                <w:szCs w:val="24"/>
                <w:color w:val="auto"/>
              </w:rPr>
            </w:pPr>
          </w:p>
        </w:tc>
        <w:tc>
          <w:tcPr>
            <w:tcW w:w="4940" w:type="dxa"/>
            <w:vAlign w:val="bottom"/>
          </w:tcPr>
          <w:p>
            <w:pPr>
              <w:jc w:val="center"/>
              <w:ind w:right="94"/>
              <w:spacing w:after="0"/>
              <w:rPr>
                <w:sz w:val="20"/>
                <w:szCs w:val="20"/>
                <w:color w:val="auto"/>
              </w:rPr>
            </w:pPr>
            <w:r>
              <w:rPr>
                <w:rFonts w:ascii="Arial" w:cs="Arial" w:eastAsia="Arial" w:hAnsi="Arial"/>
                <w:sz w:val="18"/>
                <w:szCs w:val="18"/>
                <w:b w:val="1"/>
                <w:bCs w:val="1"/>
                <w:color w:val="auto"/>
                <w:w w:val="89"/>
              </w:rPr>
              <w:t>1375 West Fulton Street, Suite 1300</w:t>
            </w:r>
          </w:p>
        </w:tc>
        <w:tc>
          <w:tcPr>
            <w:tcW w:w="1760" w:type="dxa"/>
            <w:vAlign w:val="bottom"/>
          </w:tcPr>
          <w:p>
            <w:pPr>
              <w:spacing w:after="0"/>
              <w:rPr>
                <w:sz w:val="24"/>
                <w:szCs w:val="24"/>
                <w:color w:val="auto"/>
              </w:rPr>
            </w:pPr>
          </w:p>
        </w:tc>
      </w:tr>
      <w:tr>
        <w:trPr>
          <w:trHeight w:val="224"/>
        </w:trPr>
        <w:tc>
          <w:tcPr>
            <w:tcW w:w="2260" w:type="dxa"/>
            <w:vAlign w:val="bottom"/>
          </w:tcPr>
          <w:p>
            <w:pPr>
              <w:spacing w:after="0"/>
              <w:rPr>
                <w:sz w:val="19"/>
                <w:szCs w:val="19"/>
                <w:color w:val="auto"/>
              </w:rPr>
            </w:pPr>
          </w:p>
        </w:tc>
        <w:tc>
          <w:tcPr>
            <w:tcW w:w="4940" w:type="dxa"/>
            <w:vAlign w:val="bottom"/>
          </w:tcPr>
          <w:p>
            <w:pPr>
              <w:jc w:val="center"/>
              <w:ind w:right="74"/>
              <w:spacing w:after="0"/>
              <w:rPr>
                <w:sz w:val="20"/>
                <w:szCs w:val="20"/>
                <w:color w:val="auto"/>
              </w:rPr>
            </w:pPr>
            <w:r>
              <w:rPr>
                <w:rFonts w:ascii="Arial" w:cs="Arial" w:eastAsia="Arial" w:hAnsi="Arial"/>
                <w:sz w:val="18"/>
                <w:szCs w:val="18"/>
                <w:b w:val="1"/>
                <w:bCs w:val="1"/>
                <w:color w:val="auto"/>
                <w:w w:val="90"/>
              </w:rPr>
              <w:t>Chicago, Illinois 60607</w:t>
            </w:r>
          </w:p>
        </w:tc>
        <w:tc>
          <w:tcPr>
            <w:tcW w:w="1760" w:type="dxa"/>
            <w:vAlign w:val="bottom"/>
          </w:tcPr>
          <w:p>
            <w:pPr>
              <w:spacing w:after="0"/>
              <w:rPr>
                <w:sz w:val="19"/>
                <w:szCs w:val="19"/>
                <w:color w:val="auto"/>
              </w:rPr>
            </w:pPr>
          </w:p>
        </w:tc>
      </w:tr>
      <w:tr>
        <w:trPr>
          <w:trHeight w:val="206"/>
        </w:trPr>
        <w:tc>
          <w:tcPr>
            <w:tcW w:w="2260" w:type="dxa"/>
            <w:vAlign w:val="bottom"/>
          </w:tcPr>
          <w:p>
            <w:pPr>
              <w:spacing w:after="0"/>
              <w:rPr>
                <w:sz w:val="17"/>
                <w:szCs w:val="17"/>
                <w:color w:val="auto"/>
              </w:rPr>
            </w:pPr>
          </w:p>
        </w:tc>
        <w:tc>
          <w:tcPr>
            <w:tcW w:w="4940" w:type="dxa"/>
            <w:vAlign w:val="bottom"/>
          </w:tcPr>
          <w:p>
            <w:pPr>
              <w:jc w:val="center"/>
              <w:ind w:right="94"/>
              <w:spacing w:after="0"/>
              <w:rPr>
                <w:sz w:val="20"/>
                <w:szCs w:val="20"/>
                <w:color w:val="auto"/>
              </w:rPr>
            </w:pPr>
            <w:r>
              <w:rPr>
                <w:rFonts w:ascii="Arial" w:cs="Arial" w:eastAsia="Arial" w:hAnsi="Arial"/>
                <w:sz w:val="16"/>
                <w:szCs w:val="16"/>
                <w:color w:val="auto"/>
                <w:w w:val="93"/>
              </w:rPr>
              <w:t>(Address of principal executive offices, including zip code)</w:t>
            </w:r>
          </w:p>
        </w:tc>
        <w:tc>
          <w:tcPr>
            <w:tcW w:w="1760" w:type="dxa"/>
            <w:vAlign w:val="bottom"/>
          </w:tcPr>
          <w:p>
            <w:pPr>
              <w:spacing w:after="0"/>
              <w:rPr>
                <w:sz w:val="17"/>
                <w:szCs w:val="17"/>
                <w:color w:val="auto"/>
              </w:rPr>
            </w:pPr>
          </w:p>
        </w:tc>
      </w:tr>
      <w:tr>
        <w:trPr>
          <w:trHeight w:val="442"/>
        </w:trPr>
        <w:tc>
          <w:tcPr>
            <w:tcW w:w="2260" w:type="dxa"/>
            <w:vAlign w:val="bottom"/>
          </w:tcPr>
          <w:p>
            <w:pPr>
              <w:spacing w:after="0"/>
              <w:rPr>
                <w:sz w:val="24"/>
                <w:szCs w:val="24"/>
                <w:color w:val="auto"/>
              </w:rPr>
            </w:pPr>
          </w:p>
        </w:tc>
        <w:tc>
          <w:tcPr>
            <w:tcW w:w="4940" w:type="dxa"/>
            <w:vAlign w:val="bottom"/>
          </w:tcPr>
          <w:p>
            <w:pPr>
              <w:jc w:val="right"/>
              <w:ind w:right="1914"/>
              <w:spacing w:after="0"/>
              <w:rPr>
                <w:sz w:val="20"/>
                <w:szCs w:val="20"/>
                <w:color w:val="auto"/>
              </w:rPr>
            </w:pPr>
            <w:r>
              <w:rPr>
                <w:rFonts w:ascii="Arial" w:cs="Arial" w:eastAsia="Arial" w:hAnsi="Arial"/>
                <w:sz w:val="18"/>
                <w:szCs w:val="18"/>
                <w:b w:val="1"/>
                <w:bCs w:val="1"/>
                <w:color w:val="auto"/>
              </w:rPr>
              <w:t>(844) 445-5704</w:t>
            </w:r>
          </w:p>
        </w:tc>
        <w:tc>
          <w:tcPr>
            <w:tcW w:w="1760" w:type="dxa"/>
            <w:vAlign w:val="bottom"/>
          </w:tcPr>
          <w:p>
            <w:pPr>
              <w:spacing w:after="0"/>
              <w:rPr>
                <w:sz w:val="24"/>
                <w:szCs w:val="24"/>
                <w:color w:val="auto"/>
              </w:rPr>
            </w:pPr>
          </w:p>
        </w:tc>
      </w:tr>
      <w:tr>
        <w:trPr>
          <w:trHeight w:val="206"/>
        </w:trPr>
        <w:tc>
          <w:tcPr>
            <w:tcW w:w="2260" w:type="dxa"/>
            <w:vAlign w:val="bottom"/>
          </w:tcPr>
          <w:p>
            <w:pPr>
              <w:spacing w:after="0"/>
              <w:rPr>
                <w:sz w:val="17"/>
                <w:szCs w:val="17"/>
                <w:color w:val="auto"/>
              </w:rPr>
            </w:pPr>
          </w:p>
        </w:tc>
        <w:tc>
          <w:tcPr>
            <w:tcW w:w="4940" w:type="dxa"/>
            <w:vAlign w:val="bottom"/>
          </w:tcPr>
          <w:p>
            <w:pPr>
              <w:jc w:val="center"/>
              <w:ind w:right="74"/>
              <w:spacing w:after="0"/>
              <w:rPr>
                <w:sz w:val="20"/>
                <w:szCs w:val="20"/>
                <w:color w:val="auto"/>
              </w:rPr>
            </w:pPr>
            <w:r>
              <w:rPr>
                <w:rFonts w:ascii="Arial" w:cs="Arial" w:eastAsia="Arial" w:hAnsi="Arial"/>
                <w:sz w:val="16"/>
                <w:szCs w:val="16"/>
                <w:color w:val="auto"/>
                <w:w w:val="91"/>
              </w:rPr>
              <w:t>(Registrant's telephone number, including area code)</w:t>
            </w:r>
          </w:p>
        </w:tc>
        <w:tc>
          <w:tcPr>
            <w:tcW w:w="1760" w:type="dxa"/>
            <w:vAlign w:val="bottom"/>
          </w:tcPr>
          <w:p>
            <w:pPr>
              <w:spacing w:after="0"/>
              <w:rPr>
                <w:sz w:val="17"/>
                <w:szCs w:val="17"/>
                <w:color w:val="auto"/>
              </w:rPr>
            </w:pPr>
          </w:p>
        </w:tc>
      </w:tr>
      <w:tr>
        <w:trPr>
          <w:trHeight w:val="455"/>
        </w:trPr>
        <w:tc>
          <w:tcPr>
            <w:tcW w:w="2260" w:type="dxa"/>
            <w:vAlign w:val="bottom"/>
          </w:tcPr>
          <w:p>
            <w:pPr>
              <w:spacing w:after="0"/>
              <w:rPr>
                <w:sz w:val="24"/>
                <w:szCs w:val="24"/>
                <w:color w:val="auto"/>
              </w:rPr>
            </w:pPr>
          </w:p>
        </w:tc>
        <w:tc>
          <w:tcPr>
            <w:tcW w:w="4940" w:type="dxa"/>
            <w:vAlign w:val="bottom"/>
          </w:tcPr>
          <w:p>
            <w:pPr>
              <w:jc w:val="center"/>
              <w:ind w:right="74"/>
              <w:spacing w:after="0"/>
              <w:rPr>
                <w:sz w:val="20"/>
                <w:szCs w:val="20"/>
                <w:color w:val="auto"/>
              </w:rPr>
            </w:pPr>
            <w:r>
              <w:rPr>
                <w:rFonts w:ascii="Arial" w:cs="Arial" w:eastAsia="Arial" w:hAnsi="Arial"/>
                <w:sz w:val="18"/>
                <w:szCs w:val="18"/>
                <w:b w:val="1"/>
                <w:bCs w:val="1"/>
                <w:color w:val="auto"/>
                <w:w w:val="90"/>
              </w:rPr>
              <w:t>Not Applicable</w:t>
            </w:r>
          </w:p>
        </w:tc>
        <w:tc>
          <w:tcPr>
            <w:tcW w:w="1760" w:type="dxa"/>
            <w:vAlign w:val="bottom"/>
          </w:tcPr>
          <w:p>
            <w:pPr>
              <w:spacing w:after="0"/>
              <w:rPr>
                <w:sz w:val="24"/>
                <w:szCs w:val="24"/>
                <w:color w:val="auto"/>
              </w:rPr>
            </w:pPr>
          </w:p>
        </w:tc>
      </w:tr>
      <w:tr>
        <w:trPr>
          <w:trHeight w:val="206"/>
        </w:trPr>
        <w:tc>
          <w:tcPr>
            <w:tcW w:w="2260" w:type="dxa"/>
            <w:vAlign w:val="bottom"/>
          </w:tcPr>
          <w:p>
            <w:pPr>
              <w:spacing w:after="0"/>
              <w:rPr>
                <w:sz w:val="17"/>
                <w:szCs w:val="17"/>
                <w:color w:val="auto"/>
              </w:rPr>
            </w:pPr>
          </w:p>
        </w:tc>
        <w:tc>
          <w:tcPr>
            <w:tcW w:w="4940" w:type="dxa"/>
            <w:vAlign w:val="bottom"/>
          </w:tcPr>
          <w:p>
            <w:pPr>
              <w:jc w:val="center"/>
              <w:ind w:right="74"/>
              <w:spacing w:after="0"/>
              <w:rPr>
                <w:sz w:val="20"/>
                <w:szCs w:val="20"/>
                <w:color w:val="auto"/>
              </w:rPr>
            </w:pPr>
            <w:r>
              <w:rPr>
                <w:rFonts w:ascii="Arial" w:cs="Arial" w:eastAsia="Arial" w:hAnsi="Arial"/>
                <w:sz w:val="16"/>
                <w:szCs w:val="16"/>
                <w:color w:val="auto"/>
                <w:w w:val="90"/>
              </w:rPr>
              <w:t>(Former name or former address, if changed since last report)</w:t>
            </w:r>
          </w:p>
        </w:tc>
        <w:tc>
          <w:tcPr>
            <w:tcW w:w="1760" w:type="dxa"/>
            <w:vAlign w:val="bottom"/>
          </w:tcPr>
          <w:p>
            <w:pPr>
              <w:spacing w:after="0"/>
              <w:rPr>
                <w:sz w:val="17"/>
                <w:szCs w:val="17"/>
                <w:color w:val="auto"/>
              </w:rPr>
            </w:pPr>
          </w:p>
        </w:tc>
      </w:tr>
    </w:tbl>
    <w:p>
      <w:pPr>
        <w:spacing w:after="0" w:line="104" w:lineRule="exact"/>
        <w:rPr>
          <w:sz w:val="24"/>
          <w:szCs w:val="24"/>
          <w:color w:val="auto"/>
        </w:rPr>
      </w:pPr>
    </w:p>
    <w:p>
      <w:pPr>
        <w:ind w:left="80"/>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92" w:lineRule="exact"/>
        <w:rPr>
          <w:sz w:val="24"/>
          <w:szCs w:val="24"/>
          <w:color w:val="auto"/>
        </w:rPr>
      </w:pPr>
    </w:p>
    <w:p>
      <w:pPr>
        <w:ind w:left="720" w:hanging="646"/>
        <w:spacing w:after="0"/>
        <w:tabs>
          <w:tab w:leader="none" w:pos="720" w:val="left"/>
        </w:tabs>
        <w:numPr>
          <w:ilvl w:val="0"/>
          <w:numId w:val="1"/>
        </w:numPr>
        <w:rPr>
          <w:rFonts w:ascii="MS PGothic" w:cs="MS PGothic" w:eastAsia="MS PGothic" w:hAnsi="MS PGothic"/>
          <w:sz w:val="32"/>
          <w:szCs w:val="32"/>
          <w:color w:val="auto"/>
          <w:vertAlign w:val="superscript"/>
        </w:rPr>
      </w:pPr>
      <w:r>
        <w:rPr>
          <w:rFonts w:ascii="Arial" w:cs="Arial" w:eastAsia="Arial" w:hAnsi="Arial"/>
          <w:sz w:val="16"/>
          <w:szCs w:val="16"/>
          <w:color w:val="auto"/>
        </w:rPr>
        <w:t>Written communications pursuant to Rule 425 under the Securities Act (17 CFR 230.425)</w:t>
      </w:r>
    </w:p>
    <w:p>
      <w:pPr>
        <w:spacing w:after="0" w:line="131" w:lineRule="exact"/>
        <w:rPr>
          <w:rFonts w:ascii="MS PGothic" w:cs="MS PGothic" w:eastAsia="MS PGothic" w:hAnsi="MS PGothic"/>
          <w:sz w:val="32"/>
          <w:szCs w:val="32"/>
          <w:color w:val="auto"/>
          <w:vertAlign w:val="superscript"/>
        </w:rPr>
      </w:pPr>
    </w:p>
    <w:p>
      <w:pPr>
        <w:ind w:left="720" w:hanging="646"/>
        <w:spacing w:after="0" w:line="184" w:lineRule="auto"/>
        <w:tabs>
          <w:tab w:leader="none" w:pos="72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4"/>
          <w:szCs w:val="14"/>
          <w:color w:val="auto"/>
        </w:rPr>
        <w:t>Soliciting material pursuant to Rule 14a-12 under the Exchange Act (17 CFR 240.14a-12)</w:t>
      </w:r>
    </w:p>
    <w:p>
      <w:pPr>
        <w:spacing w:after="0" w:line="132" w:lineRule="exact"/>
        <w:rPr>
          <w:rFonts w:ascii="MS PGothic" w:cs="MS PGothic" w:eastAsia="MS PGothic" w:hAnsi="MS PGothic"/>
          <w:sz w:val="25"/>
          <w:szCs w:val="25"/>
          <w:color w:val="auto"/>
          <w:vertAlign w:val="superscript"/>
        </w:rPr>
      </w:pPr>
    </w:p>
    <w:p>
      <w:pPr>
        <w:ind w:left="720" w:hanging="646"/>
        <w:spacing w:after="0" w:line="184" w:lineRule="auto"/>
        <w:tabs>
          <w:tab w:leader="none" w:pos="72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4"/>
          <w:szCs w:val="14"/>
          <w:color w:val="auto"/>
        </w:rPr>
        <w:t>Pre-commencement communications pursuant to Rule 14d-2(b) under the Exchange Act (17 CFR 240.14d-2(b))</w:t>
      </w:r>
    </w:p>
    <w:p>
      <w:pPr>
        <w:spacing w:after="0" w:line="132" w:lineRule="exact"/>
        <w:rPr>
          <w:rFonts w:ascii="MS PGothic" w:cs="MS PGothic" w:eastAsia="MS PGothic" w:hAnsi="MS PGothic"/>
          <w:sz w:val="25"/>
          <w:szCs w:val="25"/>
          <w:color w:val="auto"/>
          <w:vertAlign w:val="superscript"/>
        </w:rPr>
      </w:pPr>
    </w:p>
    <w:p>
      <w:pPr>
        <w:ind w:left="80" w:right="3280" w:hanging="6"/>
        <w:spacing w:after="0" w:line="274" w:lineRule="auto"/>
        <w:tabs>
          <w:tab w:leader="none" w:pos="730" w:val="left"/>
        </w:tabs>
        <w:numPr>
          <w:ilvl w:val="0"/>
          <w:numId w:val="1"/>
        </w:numPr>
        <w:rPr>
          <w:rFonts w:ascii="MS PGothic" w:cs="MS PGothic" w:eastAsia="MS PGothic" w:hAnsi="MS PGothic"/>
          <w:sz w:val="32"/>
          <w:szCs w:val="32"/>
          <w:color w:val="auto"/>
          <w:vertAlign w:val="superscript"/>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194"/>
        </w:trPr>
        <w:tc>
          <w:tcPr>
            <w:tcW w:w="4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2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3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10"/>
        </w:trPr>
        <w:tc>
          <w:tcPr>
            <w:tcW w:w="4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par value $0.0001 per share</w:t>
            </w:r>
          </w:p>
        </w:tc>
        <w:tc>
          <w:tcPr>
            <w:tcW w:w="2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XERS</w:t>
            </w:r>
          </w:p>
        </w:tc>
        <w:tc>
          <w:tcPr>
            <w:tcW w:w="3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The Nasdaq Global Select Market</w:t>
            </w:r>
          </w:p>
        </w:tc>
      </w:tr>
    </w:tbl>
    <w:p>
      <w:pPr>
        <w:spacing w:after="0" w:line="247" w:lineRule="exact"/>
        <w:rPr>
          <w:sz w:val="24"/>
          <w:szCs w:val="24"/>
          <w:color w:val="auto"/>
        </w:rPr>
      </w:pPr>
    </w:p>
    <w:p>
      <w:pPr>
        <w:jc w:val="both"/>
        <w:ind w:left="80" w:right="60"/>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00" w:lineRule="exact"/>
        <w:rPr>
          <w:sz w:val="24"/>
          <w:szCs w:val="24"/>
          <w:color w:val="auto"/>
        </w:rPr>
      </w:pPr>
    </w:p>
    <w:p>
      <w:pPr>
        <w:spacing w:after="0" w:line="247"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pacing w:after="0" w:line="275" w:lineRule="exact"/>
        <w:rPr>
          <w:sz w:val="24"/>
          <w:szCs w:val="24"/>
          <w:color w:val="auto"/>
        </w:rPr>
      </w:pPr>
    </w:p>
    <w:p>
      <w:pPr>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927100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00" w:val="left"/>
        </w:tabs>
        <w:rPr>
          <w:sz w:val="20"/>
          <w:szCs w:val="20"/>
          <w:color w:val="auto"/>
        </w:rPr>
      </w:pPr>
      <w:r>
        <w:rPr>
          <w:rFonts w:ascii="Arial" w:cs="Arial" w:eastAsia="Arial" w:hAnsi="Arial"/>
          <w:sz w:val="16"/>
          <w:szCs w:val="16"/>
          <w:b w:val="1"/>
          <w:bCs w:val="1"/>
          <w:color w:val="auto"/>
        </w:rPr>
        <w:t>Item 5.07</w:t>
      </w:r>
      <w:r>
        <w:rPr>
          <w:sz w:val="20"/>
          <w:szCs w:val="20"/>
          <w:color w:val="auto"/>
        </w:rPr>
        <w:tab/>
      </w:r>
      <w:r>
        <w:rPr>
          <w:rFonts w:ascii="Arial" w:cs="Arial" w:eastAsia="Arial" w:hAnsi="Arial"/>
          <w:sz w:val="14"/>
          <w:szCs w:val="14"/>
          <w:b w:val="1"/>
          <w:bCs w:val="1"/>
          <w:color w:val="auto"/>
        </w:rPr>
        <w:t>Submission of Matters to a Vote of Security Holders.</w:t>
      </w:r>
    </w:p>
    <w:p>
      <w:pPr>
        <w:spacing w:after="0" w:line="360" w:lineRule="exact"/>
        <w:rPr>
          <w:sz w:val="20"/>
          <w:szCs w:val="20"/>
          <w:color w:val="auto"/>
        </w:rPr>
      </w:pPr>
    </w:p>
    <w:p>
      <w:pPr>
        <w:ind w:right="160"/>
        <w:spacing w:after="0" w:line="268" w:lineRule="auto"/>
        <w:rPr>
          <w:sz w:val="20"/>
          <w:szCs w:val="20"/>
          <w:color w:val="auto"/>
        </w:rPr>
      </w:pPr>
      <w:r>
        <w:rPr>
          <w:rFonts w:ascii="Arial" w:cs="Arial" w:eastAsia="Arial" w:hAnsi="Arial"/>
          <w:sz w:val="15"/>
          <w:szCs w:val="15"/>
          <w:color w:val="auto"/>
        </w:rPr>
        <w:t>The Company held its Annual Meeting of Stockholders (the “Annual Meeting”) on June 7, 2023. As of April 12, 2023, the record date for the Annual Meeting, there were 137,309,116 shares of the Company’s common stock outstanding and entitled to vote at the Annual Meeting. The Company’s stockholders voted on the following matters, which are described in detail in the Company’s Definitive Proxy Statement filed with the U.S. Securities and Exchange Commission on April 26, 2023: (i) to elect Dawn Halkuff, John Johnson and Jeffrey Sherman as Class II directors of the Company to serve until the 2026 Annual Meeting of Stockholders and until his or her successor has been duly elected and qualified, or until his or her earlier death, resignation or removal (“Proposal 1”) and (ii) to ratify the appointment of Ernst &amp; Young LLP as the Company’s independent registered public accounting firm for the fiscal year ending December 31, 2023 (“Proposal 2”).</w:t>
      </w:r>
    </w:p>
    <w:p>
      <w:pPr>
        <w:spacing w:after="0" w:line="221"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The Company’s stockholders approved the Class II director nominees recommended for election in Proposal 1 at the Annual Meeting. The Company’s stockholders voted for the Class II directors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Class II Director Nominee</w:t>
            </w:r>
          </w:p>
        </w:tc>
        <w:tc>
          <w:tcPr>
            <w:tcW w:w="220" w:type="dxa"/>
            <w:vAlign w:val="bottom"/>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For</w:t>
            </w:r>
          </w:p>
        </w:tc>
        <w:tc>
          <w:tcPr>
            <w:tcW w:w="220" w:type="dxa"/>
            <w:vAlign w:val="bottom"/>
          </w:tcPr>
          <w:p>
            <w:pPr>
              <w:spacing w:after="0"/>
              <w:rPr>
                <w:sz w:val="18"/>
                <w:szCs w:val="18"/>
                <w:color w:val="auto"/>
              </w:rPr>
            </w:pPr>
          </w:p>
        </w:tc>
        <w:tc>
          <w:tcPr>
            <w:tcW w:w="1900" w:type="dxa"/>
            <w:vAlign w:val="bottom"/>
            <w:tcBorders>
              <w:bottom w:val="single" w:sz="8" w:color="auto"/>
            </w:tcBorders>
          </w:tcPr>
          <w:p>
            <w:pPr>
              <w:ind w:left="620"/>
              <w:spacing w:after="0"/>
              <w:rPr>
                <w:sz w:val="20"/>
                <w:szCs w:val="20"/>
                <w:color w:val="auto"/>
              </w:rPr>
            </w:pPr>
            <w:r>
              <w:rPr>
                <w:rFonts w:ascii="Arial" w:cs="Arial" w:eastAsia="Arial" w:hAnsi="Arial"/>
                <w:sz w:val="16"/>
                <w:szCs w:val="16"/>
                <w:b w:val="1"/>
                <w:bCs w:val="1"/>
                <w:color w:val="auto"/>
              </w:rPr>
              <w:t>Withhold</w:t>
            </w:r>
          </w:p>
        </w:tc>
        <w:tc>
          <w:tcPr>
            <w:tcW w:w="220" w:type="dxa"/>
            <w:vAlign w:val="bottom"/>
          </w:tcPr>
          <w:p>
            <w:pPr>
              <w:spacing w:after="0"/>
              <w:rPr>
                <w:sz w:val="18"/>
                <w:szCs w:val="18"/>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Broker Non-Votes</w:t>
            </w:r>
          </w:p>
        </w:tc>
      </w:tr>
      <w:tr>
        <w:trPr>
          <w:trHeight w:val="207"/>
        </w:trPr>
        <w:tc>
          <w:tcPr>
            <w:tcW w:w="4860" w:type="dxa"/>
            <w:vAlign w:val="bottom"/>
          </w:tcPr>
          <w:p>
            <w:pPr>
              <w:ind w:left="20"/>
              <w:spacing w:after="0"/>
              <w:rPr>
                <w:sz w:val="20"/>
                <w:szCs w:val="20"/>
                <w:color w:val="auto"/>
              </w:rPr>
            </w:pPr>
            <w:r>
              <w:rPr>
                <w:rFonts w:ascii="Arial" w:cs="Arial" w:eastAsia="Arial" w:hAnsi="Arial"/>
                <w:sz w:val="16"/>
                <w:szCs w:val="16"/>
                <w:color w:val="auto"/>
              </w:rPr>
              <w:t>Dawn Halkuff</w:t>
            </w:r>
          </w:p>
        </w:tc>
        <w:tc>
          <w:tcPr>
            <w:tcW w:w="2120" w:type="dxa"/>
            <w:vAlign w:val="bottom"/>
            <w:gridSpan w:val="2"/>
          </w:tcPr>
          <w:p>
            <w:pPr>
              <w:jc w:val="center"/>
              <w:ind w:left="139"/>
              <w:spacing w:after="0"/>
              <w:rPr>
                <w:sz w:val="20"/>
                <w:szCs w:val="20"/>
                <w:color w:val="auto"/>
              </w:rPr>
            </w:pPr>
            <w:r>
              <w:rPr>
                <w:rFonts w:ascii="Arial" w:cs="Arial" w:eastAsia="Arial" w:hAnsi="Arial"/>
                <w:sz w:val="16"/>
                <w:szCs w:val="16"/>
                <w:color w:val="auto"/>
                <w:w w:val="92"/>
              </w:rPr>
              <w:t>53,237,483</w:t>
            </w:r>
          </w:p>
        </w:tc>
        <w:tc>
          <w:tcPr>
            <w:tcW w:w="2120" w:type="dxa"/>
            <w:vAlign w:val="bottom"/>
            <w:gridSpan w:val="2"/>
          </w:tcPr>
          <w:p>
            <w:pPr>
              <w:jc w:val="center"/>
              <w:ind w:left="159"/>
              <w:spacing w:after="0"/>
              <w:rPr>
                <w:sz w:val="20"/>
                <w:szCs w:val="20"/>
                <w:color w:val="auto"/>
              </w:rPr>
            </w:pPr>
            <w:r>
              <w:rPr>
                <w:rFonts w:ascii="Arial" w:cs="Arial" w:eastAsia="Arial" w:hAnsi="Arial"/>
                <w:sz w:val="16"/>
                <w:szCs w:val="16"/>
                <w:color w:val="auto"/>
                <w:w w:val="89"/>
              </w:rPr>
              <w:t>4,428,497</w:t>
            </w:r>
          </w:p>
        </w:tc>
        <w:tc>
          <w:tcPr>
            <w:tcW w:w="2140" w:type="dxa"/>
            <w:vAlign w:val="bottom"/>
            <w:gridSpan w:val="2"/>
          </w:tcPr>
          <w:p>
            <w:pPr>
              <w:jc w:val="center"/>
              <w:ind w:left="139"/>
              <w:spacing w:after="0"/>
              <w:rPr>
                <w:sz w:val="20"/>
                <w:szCs w:val="20"/>
                <w:color w:val="auto"/>
              </w:rPr>
            </w:pPr>
            <w:r>
              <w:rPr>
                <w:rFonts w:ascii="Arial" w:cs="Arial" w:eastAsia="Arial" w:hAnsi="Arial"/>
                <w:sz w:val="16"/>
                <w:szCs w:val="16"/>
                <w:color w:val="auto"/>
                <w:w w:val="89"/>
              </w:rPr>
              <w:t>31,220,403</w:t>
            </w:r>
          </w:p>
        </w:tc>
      </w:tr>
      <w:tr>
        <w:trPr>
          <w:trHeight w:val="216"/>
        </w:trPr>
        <w:tc>
          <w:tcPr>
            <w:tcW w:w="4860" w:type="dxa"/>
            <w:vAlign w:val="bottom"/>
          </w:tcPr>
          <w:p>
            <w:pPr>
              <w:ind w:left="20"/>
              <w:spacing w:after="0"/>
              <w:rPr>
                <w:sz w:val="20"/>
                <w:szCs w:val="20"/>
                <w:color w:val="auto"/>
              </w:rPr>
            </w:pPr>
            <w:r>
              <w:rPr>
                <w:rFonts w:ascii="Arial" w:cs="Arial" w:eastAsia="Arial" w:hAnsi="Arial"/>
                <w:sz w:val="16"/>
                <w:szCs w:val="16"/>
                <w:color w:val="auto"/>
              </w:rPr>
              <w:t>John Johnson</w:t>
            </w:r>
          </w:p>
        </w:tc>
        <w:tc>
          <w:tcPr>
            <w:tcW w:w="2120" w:type="dxa"/>
            <w:vAlign w:val="bottom"/>
            <w:gridSpan w:val="2"/>
          </w:tcPr>
          <w:p>
            <w:pPr>
              <w:jc w:val="center"/>
              <w:ind w:left="139"/>
              <w:spacing w:after="0"/>
              <w:rPr>
                <w:sz w:val="20"/>
                <w:szCs w:val="20"/>
                <w:color w:val="auto"/>
              </w:rPr>
            </w:pPr>
            <w:r>
              <w:rPr>
                <w:rFonts w:ascii="Arial" w:cs="Arial" w:eastAsia="Arial" w:hAnsi="Arial"/>
                <w:sz w:val="16"/>
                <w:szCs w:val="16"/>
                <w:color w:val="auto"/>
                <w:w w:val="92"/>
              </w:rPr>
              <w:t>42,931,137</w:t>
            </w:r>
          </w:p>
        </w:tc>
        <w:tc>
          <w:tcPr>
            <w:tcW w:w="2120" w:type="dxa"/>
            <w:vAlign w:val="bottom"/>
            <w:gridSpan w:val="2"/>
          </w:tcPr>
          <w:p>
            <w:pPr>
              <w:jc w:val="center"/>
              <w:ind w:left="159"/>
              <w:spacing w:after="0"/>
              <w:rPr>
                <w:sz w:val="20"/>
                <w:szCs w:val="20"/>
                <w:color w:val="auto"/>
              </w:rPr>
            </w:pPr>
            <w:r>
              <w:rPr>
                <w:rFonts w:ascii="Arial" w:cs="Arial" w:eastAsia="Arial" w:hAnsi="Arial"/>
                <w:sz w:val="16"/>
                <w:szCs w:val="16"/>
                <w:color w:val="auto"/>
                <w:w w:val="89"/>
              </w:rPr>
              <w:t>14,734,843</w:t>
            </w:r>
          </w:p>
        </w:tc>
        <w:tc>
          <w:tcPr>
            <w:tcW w:w="2140" w:type="dxa"/>
            <w:vAlign w:val="bottom"/>
            <w:gridSpan w:val="2"/>
          </w:tcPr>
          <w:p>
            <w:pPr>
              <w:jc w:val="center"/>
              <w:ind w:left="139"/>
              <w:spacing w:after="0"/>
              <w:rPr>
                <w:sz w:val="20"/>
                <w:szCs w:val="20"/>
                <w:color w:val="auto"/>
              </w:rPr>
            </w:pPr>
            <w:r>
              <w:rPr>
                <w:rFonts w:ascii="Arial" w:cs="Arial" w:eastAsia="Arial" w:hAnsi="Arial"/>
                <w:sz w:val="16"/>
                <w:szCs w:val="16"/>
                <w:color w:val="auto"/>
                <w:w w:val="89"/>
              </w:rPr>
              <w:t>31,220,403</w:t>
            </w:r>
          </w:p>
        </w:tc>
      </w:tr>
      <w:tr>
        <w:trPr>
          <w:trHeight w:val="216"/>
        </w:trPr>
        <w:tc>
          <w:tcPr>
            <w:tcW w:w="4860" w:type="dxa"/>
            <w:vAlign w:val="bottom"/>
          </w:tcPr>
          <w:p>
            <w:pPr>
              <w:ind w:left="20"/>
              <w:spacing w:after="0"/>
              <w:rPr>
                <w:sz w:val="20"/>
                <w:szCs w:val="20"/>
                <w:color w:val="auto"/>
              </w:rPr>
            </w:pPr>
            <w:r>
              <w:rPr>
                <w:rFonts w:ascii="Arial" w:cs="Arial" w:eastAsia="Arial" w:hAnsi="Arial"/>
                <w:sz w:val="16"/>
                <w:szCs w:val="16"/>
                <w:color w:val="auto"/>
              </w:rPr>
              <w:t>Jeffrey Sherman</w:t>
            </w:r>
          </w:p>
        </w:tc>
        <w:tc>
          <w:tcPr>
            <w:tcW w:w="2120" w:type="dxa"/>
            <w:vAlign w:val="bottom"/>
            <w:gridSpan w:val="2"/>
          </w:tcPr>
          <w:p>
            <w:pPr>
              <w:jc w:val="center"/>
              <w:ind w:left="139"/>
              <w:spacing w:after="0"/>
              <w:rPr>
                <w:sz w:val="20"/>
                <w:szCs w:val="20"/>
                <w:color w:val="auto"/>
              </w:rPr>
            </w:pPr>
            <w:r>
              <w:rPr>
                <w:rFonts w:ascii="Arial" w:cs="Arial" w:eastAsia="Arial" w:hAnsi="Arial"/>
                <w:sz w:val="16"/>
                <w:szCs w:val="16"/>
                <w:color w:val="auto"/>
                <w:w w:val="92"/>
              </w:rPr>
              <w:t>51,327,413</w:t>
            </w:r>
          </w:p>
        </w:tc>
        <w:tc>
          <w:tcPr>
            <w:tcW w:w="2120" w:type="dxa"/>
            <w:vAlign w:val="bottom"/>
            <w:gridSpan w:val="2"/>
          </w:tcPr>
          <w:p>
            <w:pPr>
              <w:jc w:val="center"/>
              <w:ind w:left="159"/>
              <w:spacing w:after="0"/>
              <w:rPr>
                <w:sz w:val="20"/>
                <w:szCs w:val="20"/>
                <w:color w:val="auto"/>
              </w:rPr>
            </w:pPr>
            <w:r>
              <w:rPr>
                <w:rFonts w:ascii="Arial" w:cs="Arial" w:eastAsia="Arial" w:hAnsi="Arial"/>
                <w:sz w:val="16"/>
                <w:szCs w:val="16"/>
                <w:color w:val="auto"/>
                <w:w w:val="89"/>
              </w:rPr>
              <w:t>6,338,567</w:t>
            </w:r>
          </w:p>
        </w:tc>
        <w:tc>
          <w:tcPr>
            <w:tcW w:w="2140" w:type="dxa"/>
            <w:vAlign w:val="bottom"/>
            <w:gridSpan w:val="2"/>
          </w:tcPr>
          <w:p>
            <w:pPr>
              <w:jc w:val="center"/>
              <w:ind w:left="139"/>
              <w:spacing w:after="0"/>
              <w:rPr>
                <w:sz w:val="20"/>
                <w:szCs w:val="20"/>
                <w:color w:val="auto"/>
              </w:rPr>
            </w:pPr>
            <w:r>
              <w:rPr>
                <w:rFonts w:ascii="Arial" w:cs="Arial" w:eastAsia="Arial" w:hAnsi="Arial"/>
                <w:sz w:val="16"/>
                <w:szCs w:val="16"/>
                <w:color w:val="auto"/>
                <w:w w:val="89"/>
              </w:rPr>
              <w:t>31,220,403</w:t>
            </w:r>
          </w:p>
        </w:tc>
      </w:tr>
    </w:tbl>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The Company’s stockholders approved Proposal 2. The votes cast at the Annual Meeting were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For</w:t>
            </w:r>
          </w:p>
        </w:tc>
        <w:tc>
          <w:tcPr>
            <w:tcW w:w="200" w:type="dxa"/>
            <w:vAlign w:val="bottom"/>
          </w:tcPr>
          <w:p>
            <w:pPr>
              <w:spacing w:after="0"/>
              <w:rPr>
                <w:sz w:val="18"/>
                <w:szCs w:val="18"/>
                <w:color w:val="auto"/>
              </w:rPr>
            </w:pPr>
          </w:p>
        </w:tc>
        <w:tc>
          <w:tcPr>
            <w:tcW w:w="190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Against</w:t>
            </w:r>
          </w:p>
        </w:tc>
        <w:tc>
          <w:tcPr>
            <w:tcW w:w="220" w:type="dxa"/>
            <w:vAlign w:val="bottom"/>
          </w:tcPr>
          <w:p>
            <w:pPr>
              <w:spacing w:after="0"/>
              <w:rPr>
                <w:sz w:val="18"/>
                <w:szCs w:val="18"/>
                <w:color w:val="auto"/>
              </w:rPr>
            </w:pPr>
          </w:p>
        </w:tc>
        <w:tc>
          <w:tcPr>
            <w:tcW w:w="190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Abstain</w:t>
            </w:r>
          </w:p>
        </w:tc>
      </w:tr>
      <w:tr>
        <w:trPr>
          <w:trHeight w:val="206"/>
        </w:trPr>
        <w:tc>
          <w:tcPr>
            <w:tcW w:w="1920" w:type="dxa"/>
            <w:vAlign w:val="bottom"/>
          </w:tcPr>
          <w:p>
            <w:pPr>
              <w:jc w:val="right"/>
              <w:ind w:right="519"/>
              <w:spacing w:after="0"/>
              <w:rPr>
                <w:sz w:val="20"/>
                <w:szCs w:val="20"/>
                <w:color w:val="auto"/>
              </w:rPr>
            </w:pPr>
            <w:r>
              <w:rPr>
                <w:rFonts w:ascii="Arial" w:cs="Arial" w:eastAsia="Arial" w:hAnsi="Arial"/>
                <w:sz w:val="16"/>
                <w:szCs w:val="16"/>
                <w:color w:val="auto"/>
              </w:rPr>
              <w:t>87,826,099</w:t>
            </w:r>
          </w:p>
        </w:tc>
        <w:tc>
          <w:tcPr>
            <w:tcW w:w="2100" w:type="dxa"/>
            <w:vAlign w:val="bottom"/>
            <w:gridSpan w:val="2"/>
          </w:tcPr>
          <w:p>
            <w:pPr>
              <w:ind w:left="900"/>
              <w:spacing w:after="0"/>
              <w:rPr>
                <w:sz w:val="20"/>
                <w:szCs w:val="20"/>
                <w:color w:val="auto"/>
              </w:rPr>
            </w:pPr>
            <w:r>
              <w:rPr>
                <w:rFonts w:ascii="Arial" w:cs="Arial" w:eastAsia="Arial" w:hAnsi="Arial"/>
                <w:sz w:val="16"/>
                <w:szCs w:val="16"/>
                <w:color w:val="auto"/>
              </w:rPr>
              <w:t>820,583</w:t>
            </w:r>
          </w:p>
        </w:tc>
        <w:tc>
          <w:tcPr>
            <w:tcW w:w="2120" w:type="dxa"/>
            <w:vAlign w:val="bottom"/>
            <w:gridSpan w:val="2"/>
          </w:tcPr>
          <w:p>
            <w:pPr>
              <w:ind w:left="900"/>
              <w:spacing w:after="0"/>
              <w:rPr>
                <w:sz w:val="20"/>
                <w:szCs w:val="20"/>
                <w:color w:val="auto"/>
              </w:rPr>
            </w:pPr>
            <w:r>
              <w:rPr>
                <w:rFonts w:ascii="Arial" w:cs="Arial" w:eastAsia="Arial" w:hAnsi="Arial"/>
                <w:sz w:val="16"/>
                <w:szCs w:val="16"/>
                <w:color w:val="auto"/>
              </w:rPr>
              <w:t>239,701</w:t>
            </w:r>
          </w:p>
        </w:tc>
      </w:tr>
    </w:tbl>
    <w:p>
      <w:pPr>
        <w:spacing w:after="0" w:line="361" w:lineRule="exact"/>
        <w:rPr>
          <w:sz w:val="20"/>
          <w:szCs w:val="20"/>
          <w:color w:val="auto"/>
        </w:rPr>
      </w:pPr>
    </w:p>
    <w:p>
      <w:pPr>
        <w:spacing w:after="0"/>
        <w:rPr>
          <w:sz w:val="20"/>
          <w:szCs w:val="20"/>
          <w:color w:val="auto"/>
        </w:rPr>
      </w:pPr>
      <w:r>
        <w:rPr>
          <w:rFonts w:ascii="Arial" w:cs="Arial" w:eastAsia="Arial" w:hAnsi="Arial"/>
          <w:sz w:val="16"/>
          <w:szCs w:val="16"/>
          <w:color w:val="auto"/>
        </w:rPr>
        <w:t>*Fractional shares have been rounded to the nearest whole number.</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 other matters were submitted to or voted on by the Company’s stockholders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553720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2" w:name="page3"/>
    <w:bookmarkEnd w:id="2"/>
    <w:p>
      <w:pPr>
        <w:jc w:val="center"/>
        <w:ind w:right="32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4" w:lineRule="exact"/>
        <w:rPr>
          <w:sz w:val="20"/>
          <w:szCs w:val="20"/>
          <w:color w:val="auto"/>
        </w:rPr>
      </w:pPr>
    </w:p>
    <w:p>
      <w:pPr>
        <w:ind w:left="20"/>
        <w:spacing w:after="0"/>
        <w:tabs>
          <w:tab w:leader="none" w:pos="6420" w:val="left"/>
        </w:tabs>
        <w:rPr>
          <w:sz w:val="20"/>
          <w:szCs w:val="20"/>
          <w:color w:val="auto"/>
        </w:rPr>
      </w:pPr>
      <w:r>
        <w:rPr>
          <w:rFonts w:ascii="Arial" w:cs="Arial" w:eastAsia="Arial" w:hAnsi="Arial"/>
          <w:sz w:val="18"/>
          <w:szCs w:val="18"/>
          <w:color w:val="auto"/>
        </w:rPr>
        <w:t>Date: June 7, 2023</w:t>
      </w:r>
      <w:r>
        <w:rPr>
          <w:sz w:val="20"/>
          <w:szCs w:val="20"/>
          <w:color w:val="auto"/>
        </w:rPr>
        <w:tab/>
      </w:r>
      <w:r>
        <w:rPr>
          <w:rFonts w:ascii="Arial" w:cs="Arial" w:eastAsia="Arial" w:hAnsi="Arial"/>
          <w:sz w:val="16"/>
          <w:szCs w:val="16"/>
          <w:b w:val="1"/>
          <w:bCs w:val="1"/>
          <w:color w:val="auto"/>
        </w:rPr>
        <w:t>Xeris Biopharma Holdings, Inc.</w:t>
      </w:r>
    </w:p>
    <w:p>
      <w:pPr>
        <w:spacing w:after="0" w:line="175" w:lineRule="exact"/>
        <w:rPr>
          <w:sz w:val="20"/>
          <w:szCs w:val="20"/>
          <w:color w:val="auto"/>
        </w:rPr>
      </w:pPr>
    </w:p>
    <w:p>
      <w:pPr>
        <w:ind w:left="6440"/>
        <w:spacing w:after="0"/>
        <w:tabs>
          <w:tab w:leader="none" w:pos="6860" w:val="left"/>
        </w:tabs>
        <w:rPr>
          <w:sz w:val="20"/>
          <w:szCs w:val="20"/>
          <w:color w:val="auto"/>
        </w:rPr>
      </w:pPr>
      <w:r>
        <w:rPr>
          <w:rFonts w:ascii="Arial" w:cs="Arial" w:eastAsia="Arial" w:hAnsi="Arial"/>
          <w:sz w:val="18"/>
          <w:szCs w:val="18"/>
          <w:color w:val="auto"/>
        </w:rPr>
        <w:t>By:</w:t>
        <w:tab/>
        <w:t>/s/ Steven M. Pieper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14605</wp:posOffset>
            </wp:positionV>
            <wp:extent cx="2289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Name: Steven M. Pieper</w:t>
      </w:r>
    </w:p>
    <w:p>
      <w:pPr>
        <w:spacing w:after="0" w:line="3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Financial Officer</w:t>
      </w:r>
    </w:p>
    <w:sectPr>
      <w:pgSz w:w="11900" w:h="16838" w:orient="portrait"/>
      <w:cols w:equalWidth="0" w:num="1">
        <w:col w:w="10260"/>
      </w:cols>
      <w:pgMar w:left="980" w:top="891"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2023-06-07T15:38:07Z</dcterms:created>
  <dcterms:modified xsi:type="dcterms:W3CDTF">2023-06-07T15:38:07Z</dcterms:modified>
</cp:coreProperties>
</file>