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McCulloch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365" w:lineRule="auto"/>
        <w:rPr>
          <w:sz w:val="20"/>
          <w:szCs w:val="20"/>
          <w:color w:val="auto"/>
        </w:rPr>
      </w:pPr>
      <w:r>
        <w:rPr>
          <w:rFonts w:ascii="Times New Roman" w:cs="Times New Roman" w:eastAsia="Times New Roman" w:hAnsi="Times New Roman"/>
          <w:sz w:val="17"/>
          <w:szCs w:val="17"/>
          <w:color w:val="0000FF"/>
        </w:rPr>
        <w:t>C/O XERIS BIOPHARMA HOLDINGS, INC. 1375 WEST FULTON STREET, SUITE 1300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07/01/2026</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07/01/2026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90,000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8.0279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1,691,126</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25,000</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 as of September 4, 2025.</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$8.000 to $8.10,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3,401 shares acquired on June 30, 2026 under the issuer's 2018 Employee Stock Purchase Plan, as amended.</w:t>
      </w:r>
    </w:p>
    <w:p>
      <w:pPr>
        <w:spacing w:after="0" w:line="5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Operating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Beth Hecht,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1695"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2026-07-02T15:50:40Z</dcterms:created>
  <dcterms:modified xsi:type="dcterms:W3CDTF">2026-07-02T15:50:40Z</dcterms:modified>
</cp:coreProperties>
</file>