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301263.xml.htm"/>
      <w:bookmarkStart w:id="1" w:name="kswkform4_178830126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Hecht Beth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XERIS BIOPHARMA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1375 WEST FULTON STREET, SUITE 1300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60607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Xeris Biopharma Holdings, Inc.</w:t>
              </w:r>
            </w:hyperlink>
            <w:r>
              <w:rPr/>
              <w:t xml:space="preserve"> [ </w:t>
            </w:r>
            <w:r>
              <w:rPr>
                <w:rFonts w:ascii="Times;serif" w:hAnsi="Times;serif"/>
                <w:color w:val="0000FF"/>
                <w:sz w:val="24"/>
                <w:shd w:fill="FFFFFF" w:val="clear"/>
              </w:rPr>
              <w:t>XERS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17"/>
        <w:gridCol w:w="900"/>
        <w:gridCol w:w="771"/>
        <w:gridCol w:w="598"/>
        <w:gridCol w:w="342"/>
        <w:gridCol w:w="914"/>
        <w:gridCol w:w="438"/>
        <w:gridCol w:w="878"/>
        <w:gridCol w:w="1257"/>
        <w:gridCol w:w="977"/>
        <w:gridCol w:w="91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3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16,666</w:t>
            </w:r>
          </w:p>
        </w:tc>
        <w:tc>
          <w:tcPr>
            <w:tcW w:w="4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8.4864</w:t>
            </w:r>
            <w:r>
              <w:rPr>
                <w:rFonts w:ascii="Times;serif" w:hAnsi="Times;serif"/>
                <w:color w:val="008000"/>
                <w:position w:val="7"/>
                <w:sz w:val="16"/>
                <w:sz w:val="20"/>
                <w:shd w:fill="FFFFFF" w:val="clear"/>
              </w:rPr>
              <w:t>(2)</w:t>
            </w:r>
          </w:p>
        </w:tc>
        <w:tc>
          <w:tcPr>
            <w:tcW w:w="12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1,127,796</w:t>
            </w:r>
          </w:p>
        </w:tc>
        <w:tc>
          <w:tcPr>
            <w:tcW w:w="9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 was effected pursuant to a rule 10b5-1 trading plan adopted by the reporting person on August 8,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is a weighted average price. These shares were sold in multiple transactions at prices ranging from $8.390 to $8.600, inclusive. The reporting person undertakes to provide to the Issuer, any security holder of the Issuer, or the staff of the Securities and Exchange Commission, upon request, full information regarding the number of shares sold at each separate price within the range.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Chief Legal Officer and Corporate Secretary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Beth Hecht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652410" TargetMode="External"/><Relationship Id="rId5" Type="http://schemas.openxmlformats.org/officeDocument/2006/relationships/hyperlink" Target="http://www.sec.gov/cgi-bin/browse-edgar?action=getcompany&amp;CIK=000186709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661</Words>
  <Characters>3585</Characters>
  <CharactersWithSpaces>4175</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