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72"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2018</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6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90"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_______ to 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001-38536</w:t>
      </w:r>
    </w:p>
    <w:p>
      <w:pPr>
        <w:spacing w:after="0" w:line="42"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XERIS PHARMACEUTICALS, INC.</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the Registrant as Specified in Its Charter)</w:t>
      </w:r>
    </w:p>
    <w:p>
      <w:pPr>
        <w:spacing w:after="0" w:line="21" w:lineRule="exact"/>
        <w:rPr>
          <w:sz w:val="24"/>
          <w:szCs w:val="24"/>
          <w:color w:val="auto"/>
        </w:rPr>
      </w:pPr>
    </w:p>
    <w:p>
      <w:pPr>
        <w:ind w:left="4580"/>
        <w:spacing w:after="0"/>
        <w:rPr>
          <w:sz w:val="20"/>
          <w:szCs w:val="20"/>
          <w:color w:val="auto"/>
        </w:rPr>
      </w:pPr>
      <w:r>
        <w:rPr>
          <w:rFonts w:ascii="Arial" w:cs="Arial" w:eastAsia="Arial" w:hAnsi="Arial"/>
          <w:sz w:val="22"/>
          <w:szCs w:val="22"/>
          <w:color w:val="auto"/>
        </w:rPr>
        <w:t>_____________________</w:t>
      </w:r>
    </w:p>
    <w:p>
      <w:pPr>
        <w:spacing w:after="0" w:line="146"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5680" w:type="dxa"/>
            <w:vAlign w:val="bottom"/>
          </w:tcPr>
          <w:p>
            <w:pPr>
              <w:jc w:val="center"/>
              <w:ind w:right="3076"/>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61"/>
              <w:spacing w:after="0"/>
              <w:rPr>
                <w:sz w:val="20"/>
                <w:szCs w:val="20"/>
                <w:color w:val="auto"/>
              </w:rPr>
            </w:pPr>
            <w:r>
              <w:rPr>
                <w:rFonts w:ascii="Arial" w:cs="Arial" w:eastAsia="Arial" w:hAnsi="Arial"/>
                <w:sz w:val="18"/>
                <w:szCs w:val="18"/>
                <w:b w:val="1"/>
                <w:bCs w:val="1"/>
                <w:color w:val="auto"/>
              </w:rPr>
              <w:t>20-3352427</w:t>
            </w:r>
          </w:p>
        </w:tc>
      </w:tr>
      <w:tr>
        <w:trPr>
          <w:trHeight w:val="184"/>
        </w:trPr>
        <w:tc>
          <w:tcPr>
            <w:tcW w:w="5680" w:type="dxa"/>
            <w:vAlign w:val="bottom"/>
          </w:tcPr>
          <w:p>
            <w:pPr>
              <w:jc w:val="center"/>
              <w:ind w:right="3076"/>
              <w:spacing w:after="0"/>
              <w:rPr>
                <w:sz w:val="20"/>
                <w:szCs w:val="20"/>
                <w:color w:val="auto"/>
              </w:rPr>
            </w:pPr>
            <w:r>
              <w:rPr>
                <w:rFonts w:ascii="Arial" w:cs="Arial" w:eastAsia="Arial" w:hAnsi="Arial"/>
                <w:sz w:val="14"/>
                <w:szCs w:val="14"/>
                <w:color w:val="auto"/>
                <w:w w:val="94"/>
              </w:rPr>
              <w:t>(State or Other Jurisdiction of</w:t>
            </w:r>
          </w:p>
        </w:tc>
        <w:tc>
          <w:tcPr>
            <w:tcW w:w="1500" w:type="dxa"/>
            <w:vAlign w:val="bottom"/>
          </w:tcPr>
          <w:p>
            <w:pPr>
              <w:jc w:val="center"/>
              <w:ind w:left="81"/>
              <w:spacing w:after="0"/>
              <w:rPr>
                <w:sz w:val="20"/>
                <w:szCs w:val="20"/>
                <w:color w:val="auto"/>
              </w:rPr>
            </w:pPr>
            <w:r>
              <w:rPr>
                <w:rFonts w:ascii="Arial" w:cs="Arial" w:eastAsia="Arial" w:hAnsi="Arial"/>
                <w:sz w:val="14"/>
                <w:szCs w:val="14"/>
                <w:color w:val="auto"/>
                <w:w w:val="95"/>
              </w:rPr>
              <w:t>(I.R.S. Employer</w:t>
            </w:r>
          </w:p>
        </w:tc>
      </w:tr>
      <w:tr>
        <w:trPr>
          <w:trHeight w:val="182"/>
        </w:trPr>
        <w:tc>
          <w:tcPr>
            <w:tcW w:w="5680" w:type="dxa"/>
            <w:vAlign w:val="bottom"/>
          </w:tcPr>
          <w:p>
            <w:pPr>
              <w:jc w:val="center"/>
              <w:ind w:right="3076"/>
              <w:spacing w:after="0"/>
              <w:rPr>
                <w:sz w:val="20"/>
                <w:szCs w:val="20"/>
                <w:color w:val="auto"/>
              </w:rPr>
            </w:pPr>
            <w:r>
              <w:rPr>
                <w:rFonts w:ascii="Arial" w:cs="Arial" w:eastAsia="Arial" w:hAnsi="Arial"/>
                <w:sz w:val="14"/>
                <w:szCs w:val="14"/>
                <w:color w:val="auto"/>
                <w:w w:val="94"/>
              </w:rPr>
              <w:t>Incorporation or Organization)</w:t>
            </w:r>
          </w:p>
        </w:tc>
        <w:tc>
          <w:tcPr>
            <w:tcW w:w="1500" w:type="dxa"/>
            <w:vAlign w:val="bottom"/>
          </w:tcPr>
          <w:p>
            <w:pPr>
              <w:jc w:val="center"/>
              <w:ind w:left="81"/>
              <w:spacing w:after="0"/>
              <w:rPr>
                <w:sz w:val="20"/>
                <w:szCs w:val="20"/>
                <w:color w:val="auto"/>
              </w:rPr>
            </w:pPr>
            <w:r>
              <w:rPr>
                <w:rFonts w:ascii="Arial" w:cs="Arial" w:eastAsia="Arial" w:hAnsi="Arial"/>
                <w:sz w:val="14"/>
                <w:szCs w:val="14"/>
                <w:color w:val="auto"/>
                <w:w w:val="97"/>
              </w:rPr>
              <w:t>Identification Number)</w:t>
            </w:r>
          </w:p>
        </w:tc>
      </w:tr>
      <w:tr>
        <w:trPr>
          <w:trHeight w:val="358"/>
        </w:trPr>
        <w:tc>
          <w:tcPr>
            <w:tcW w:w="5680" w:type="dxa"/>
            <w:vAlign w:val="bottom"/>
          </w:tcPr>
          <w:p>
            <w:pPr>
              <w:jc w:val="center"/>
              <w:ind w:right="3076"/>
              <w:spacing w:after="0"/>
              <w:rPr>
                <w:sz w:val="20"/>
                <w:szCs w:val="20"/>
                <w:color w:val="auto"/>
              </w:rPr>
            </w:pPr>
            <w:r>
              <w:rPr>
                <w:rFonts w:ascii="Arial" w:cs="Arial" w:eastAsia="Arial" w:hAnsi="Arial"/>
                <w:sz w:val="18"/>
                <w:szCs w:val="18"/>
                <w:b w:val="1"/>
                <w:bCs w:val="1"/>
                <w:color w:val="auto"/>
                <w:w w:val="91"/>
              </w:rPr>
              <w:t>180 N. LaSalle Street, Suite 1810</w:t>
            </w:r>
          </w:p>
        </w:tc>
        <w:tc>
          <w:tcPr>
            <w:tcW w:w="1500" w:type="dxa"/>
            <w:vAlign w:val="bottom"/>
          </w:tcPr>
          <w:p>
            <w:pPr>
              <w:spacing w:after="0"/>
              <w:rPr>
                <w:sz w:val="24"/>
                <w:szCs w:val="24"/>
                <w:color w:val="auto"/>
              </w:rPr>
            </w:pPr>
          </w:p>
        </w:tc>
      </w:tr>
      <w:tr>
        <w:trPr>
          <w:trHeight w:val="234"/>
        </w:trPr>
        <w:tc>
          <w:tcPr>
            <w:tcW w:w="5680" w:type="dxa"/>
            <w:vAlign w:val="bottom"/>
          </w:tcPr>
          <w:p>
            <w:pPr>
              <w:jc w:val="center"/>
              <w:ind w:right="3076"/>
              <w:spacing w:after="0"/>
              <w:rPr>
                <w:sz w:val="20"/>
                <w:szCs w:val="20"/>
                <w:color w:val="auto"/>
              </w:rPr>
            </w:pPr>
            <w:r>
              <w:rPr>
                <w:rFonts w:ascii="Arial" w:cs="Arial" w:eastAsia="Arial" w:hAnsi="Arial"/>
                <w:sz w:val="18"/>
                <w:szCs w:val="18"/>
                <w:b w:val="1"/>
                <w:bCs w:val="1"/>
                <w:color w:val="auto"/>
                <w:w w:val="89"/>
              </w:rPr>
              <w:t>Chicago, Illinois</w:t>
            </w:r>
          </w:p>
        </w:tc>
        <w:tc>
          <w:tcPr>
            <w:tcW w:w="1500" w:type="dxa"/>
            <w:vAlign w:val="bottom"/>
          </w:tcPr>
          <w:p>
            <w:pPr>
              <w:jc w:val="right"/>
              <w:ind w:right="361"/>
              <w:spacing w:after="0"/>
              <w:rPr>
                <w:sz w:val="20"/>
                <w:szCs w:val="20"/>
                <w:color w:val="auto"/>
              </w:rPr>
            </w:pPr>
            <w:r>
              <w:rPr>
                <w:rFonts w:ascii="Arial" w:cs="Arial" w:eastAsia="Arial" w:hAnsi="Arial"/>
                <w:sz w:val="18"/>
                <w:szCs w:val="18"/>
                <w:b w:val="1"/>
                <w:bCs w:val="1"/>
                <w:color w:val="auto"/>
              </w:rPr>
              <w:t>60601</w:t>
            </w:r>
          </w:p>
        </w:tc>
      </w:tr>
      <w:tr>
        <w:trPr>
          <w:trHeight w:val="285"/>
        </w:trPr>
        <w:tc>
          <w:tcPr>
            <w:tcW w:w="5680" w:type="dxa"/>
            <w:vAlign w:val="bottom"/>
          </w:tcPr>
          <w:p>
            <w:pPr>
              <w:jc w:val="center"/>
              <w:ind w:right="3076"/>
              <w:spacing w:after="0"/>
              <w:rPr>
                <w:sz w:val="20"/>
                <w:szCs w:val="20"/>
                <w:color w:val="auto"/>
              </w:rPr>
            </w:pPr>
            <w:r>
              <w:rPr>
                <w:rFonts w:ascii="Arial" w:cs="Arial" w:eastAsia="Arial" w:hAnsi="Arial"/>
                <w:sz w:val="14"/>
                <w:szCs w:val="14"/>
                <w:color w:val="auto"/>
                <w:w w:val="95"/>
              </w:rPr>
              <w:t>(Address of Principal Executive Offices)</w:t>
            </w:r>
          </w:p>
        </w:tc>
        <w:tc>
          <w:tcPr>
            <w:tcW w:w="1500" w:type="dxa"/>
            <w:vAlign w:val="bottom"/>
          </w:tcPr>
          <w:p>
            <w:pPr>
              <w:jc w:val="center"/>
              <w:ind w:left="61"/>
              <w:spacing w:after="0"/>
              <w:rPr>
                <w:sz w:val="20"/>
                <w:szCs w:val="20"/>
                <w:color w:val="auto"/>
              </w:rPr>
            </w:pPr>
            <w:r>
              <w:rPr>
                <w:rFonts w:ascii="Arial" w:cs="Arial" w:eastAsia="Arial" w:hAnsi="Arial"/>
                <w:sz w:val="14"/>
                <w:szCs w:val="14"/>
                <w:color w:val="auto"/>
                <w:w w:val="96"/>
              </w:rPr>
              <w:t>(Zip Code)</w:t>
            </w:r>
          </w:p>
        </w:tc>
      </w:tr>
      <w:tr>
        <w:trPr>
          <w:trHeight w:val="377"/>
        </w:trPr>
        <w:tc>
          <w:tcPr>
            <w:tcW w:w="5680" w:type="dxa"/>
            <w:vAlign w:val="bottom"/>
          </w:tcPr>
          <w:p>
            <w:pPr>
              <w:jc w:val="right"/>
              <w:ind w:right="1096"/>
              <w:spacing w:after="0"/>
              <w:rPr>
                <w:sz w:val="20"/>
                <w:szCs w:val="20"/>
                <w:color w:val="auto"/>
              </w:rPr>
            </w:pPr>
            <w:r>
              <w:rPr>
                <w:rFonts w:ascii="Arial" w:cs="Arial" w:eastAsia="Arial" w:hAnsi="Arial"/>
                <w:sz w:val="18"/>
                <w:szCs w:val="18"/>
                <w:b w:val="1"/>
                <w:bCs w:val="1"/>
                <w:color w:val="auto"/>
              </w:rPr>
              <w:t>(844) 445-5704</w:t>
            </w:r>
          </w:p>
        </w:tc>
        <w:tc>
          <w:tcPr>
            <w:tcW w:w="1500" w:type="dxa"/>
            <w:vAlign w:val="bottom"/>
          </w:tcPr>
          <w:p>
            <w:pPr>
              <w:spacing w:after="0"/>
              <w:rPr>
                <w:sz w:val="24"/>
                <w:szCs w:val="24"/>
                <w:color w:val="auto"/>
              </w:rPr>
            </w:pPr>
          </w:p>
        </w:tc>
      </w:tr>
      <w:tr>
        <w:trPr>
          <w:trHeight w:val="218"/>
        </w:trPr>
        <w:tc>
          <w:tcPr>
            <w:tcW w:w="5680" w:type="dxa"/>
            <w:vAlign w:val="bottom"/>
          </w:tcPr>
          <w:p>
            <w:pPr>
              <w:ind w:left="2340"/>
              <w:spacing w:after="0"/>
              <w:rPr>
                <w:sz w:val="20"/>
                <w:szCs w:val="20"/>
                <w:color w:val="auto"/>
              </w:rPr>
            </w:pPr>
            <w:r>
              <w:rPr>
                <w:rFonts w:ascii="Arial" w:cs="Arial" w:eastAsia="Arial" w:hAnsi="Arial"/>
                <w:sz w:val="14"/>
                <w:szCs w:val="14"/>
                <w:color w:val="auto"/>
                <w:w w:val="97"/>
              </w:rPr>
              <w:t>(Registrant's Telephone Number, Including Area Code)</w:t>
            </w:r>
          </w:p>
        </w:tc>
        <w:tc>
          <w:tcPr>
            <w:tcW w:w="1500" w:type="dxa"/>
            <w:vAlign w:val="bottom"/>
          </w:tcPr>
          <w:p>
            <w:pPr>
              <w:spacing w:after="0"/>
              <w:rPr>
                <w:sz w:val="18"/>
                <w:szCs w:val="18"/>
                <w:color w:val="auto"/>
              </w:rPr>
            </w:pPr>
          </w:p>
        </w:tc>
      </w:tr>
      <w:tr>
        <w:trPr>
          <w:trHeight w:val="279"/>
        </w:trPr>
        <w:tc>
          <w:tcPr>
            <w:tcW w:w="5680" w:type="dxa"/>
            <w:vAlign w:val="bottom"/>
          </w:tcPr>
          <w:p>
            <w:pPr>
              <w:jc w:val="right"/>
              <w:ind w:right="536"/>
              <w:spacing w:after="0"/>
              <w:rPr>
                <w:sz w:val="20"/>
                <w:szCs w:val="20"/>
                <w:color w:val="auto"/>
              </w:rPr>
            </w:pPr>
            <w:r>
              <w:rPr>
                <w:rFonts w:ascii="Arial" w:cs="Arial" w:eastAsia="Arial" w:hAnsi="Arial"/>
                <w:sz w:val="22"/>
                <w:szCs w:val="22"/>
                <w:color w:val="auto"/>
              </w:rPr>
              <w:t>_____________________</w:t>
            </w:r>
          </w:p>
        </w:tc>
        <w:tc>
          <w:tcPr>
            <w:tcW w:w="1500" w:type="dxa"/>
            <w:vAlign w:val="bottom"/>
          </w:tcPr>
          <w:p>
            <w:pPr>
              <w:spacing w:after="0"/>
              <w:rPr>
                <w:sz w:val="24"/>
                <w:szCs w:val="24"/>
                <w:color w:val="auto"/>
              </w:rPr>
            </w:pPr>
          </w:p>
        </w:tc>
      </w:tr>
    </w:tbl>
    <w:p>
      <w:pPr>
        <w:spacing w:after="0" w:line="295" w:lineRule="exact"/>
        <w:rPr>
          <w:sz w:val="24"/>
          <w:szCs w:val="24"/>
          <w:color w:val="auto"/>
        </w:rPr>
      </w:pPr>
    </w:p>
    <w:p>
      <w:pPr>
        <w:ind w:left="40"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left="40"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left="40" w:right="1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7" w:right="239" w:bottom="1440" w:gutter="0" w:footer="0" w:header="0"/>
        </w:sectPr>
      </w:pPr>
    </w:p>
    <w:p>
      <w:pPr>
        <w:spacing w:after="0" w:line="106"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88" w:lineRule="exact"/>
        <w:rPr>
          <w:sz w:val="24"/>
          <w:szCs w:val="24"/>
          <w:color w:val="auto"/>
        </w:rPr>
      </w:pPr>
    </w:p>
    <w:p>
      <w:pPr>
        <w:sectPr>
          <w:pgSz w:w="11900" w:h="16838" w:orient="portrait"/>
          <w:cols w:equalWidth="0" w:num="2">
            <w:col w:w="6420" w:space="720"/>
            <w:col w:w="4280"/>
          </w:cols>
          <w:pgMar w:left="240" w:top="787"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88" w:lineRule="exact"/>
        <w:rPr>
          <w:sz w:val="24"/>
          <w:szCs w:val="24"/>
          <w:color w:val="auto"/>
        </w:rPr>
      </w:pPr>
    </w:p>
    <w:p>
      <w:pPr>
        <w:sectPr>
          <w:pgSz w:w="11900" w:h="16838" w:orient="portrait"/>
          <w:cols w:equalWidth="0" w:num="3">
            <w:col w:w="1420" w:space="40"/>
            <w:col w:w="4960" w:space="720"/>
            <w:col w:w="4280"/>
          </w:cols>
          <w:pgMar w:left="240" w:top="787" w:right="239" w:bottom="1440" w:gutter="0" w:footer="0" w:header="0"/>
          <w:type w:val="continuous"/>
        </w:sectPr>
      </w:pPr>
    </w:p>
    <w:p>
      <w:pPr>
        <w:ind w:left="71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420"/>
          </w:cols>
          <w:pgMar w:left="240" w:top="787" w:right="239" w:bottom="1440" w:gutter="0" w:footer="0" w:header="0"/>
          <w:type w:val="continuous"/>
        </w:sectPr>
      </w:pPr>
    </w:p>
    <w:p>
      <w:pPr>
        <w:spacing w:after="0" w:line="94" w:lineRule="exact"/>
        <w:rPr>
          <w:sz w:val="24"/>
          <w:szCs w:val="24"/>
          <w:color w:val="auto"/>
        </w:rPr>
      </w:pPr>
    </w:p>
    <w:p>
      <w:pPr>
        <w:ind w:left="40" w:right="1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260" w:type="dxa"/>
            <w:vAlign w:val="bottom"/>
            <w:gridSpan w:val="3"/>
          </w:tcPr>
          <w:p>
            <w:pPr>
              <w:ind w:left="4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Rule 12b-2 of the Exchange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00"/>
        </w:trPr>
        <w:tc>
          <w:tcPr>
            <w:tcW w:w="7260" w:type="dxa"/>
            <w:vAlign w:val="bottom"/>
            <w:gridSpan w:val="3"/>
          </w:tcPr>
          <w:p>
            <w:pPr>
              <w:ind w:left="40"/>
              <w:spacing w:after="0"/>
              <w:rPr>
                <w:sz w:val="20"/>
                <w:szCs w:val="20"/>
                <w:color w:val="auto"/>
              </w:rPr>
            </w:pPr>
            <w:r>
              <w:rPr>
                <w:rFonts w:ascii="Arial" w:cs="Arial" w:eastAsia="Arial" w:hAnsi="Arial"/>
                <w:sz w:val="14"/>
                <w:szCs w:val="14"/>
                <w:color w:val="auto"/>
                <w:w w:val="93"/>
              </w:rPr>
              <w:t>Indicate the number of shares outstanding of each of the issuer’s classes of common stock, as of the latest practicable date.</w:t>
            </w:r>
          </w:p>
        </w:tc>
        <w:tc>
          <w:tcPr>
            <w:tcW w:w="4160" w:type="dxa"/>
            <w:vAlign w:val="bottom"/>
          </w:tcPr>
          <w:p>
            <w:pPr>
              <w:spacing w:after="0"/>
              <w:rPr>
                <w:sz w:val="17"/>
                <w:szCs w:val="17"/>
                <w:color w:val="auto"/>
              </w:rPr>
            </w:pPr>
          </w:p>
        </w:tc>
      </w:tr>
      <w:tr>
        <w:trPr>
          <w:trHeight w:val="276"/>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1"/>
              </w:rPr>
              <w:t>Shares Outstanding at October 31, 2018</w:t>
            </w:r>
          </w:p>
        </w:tc>
      </w:tr>
      <w:tr>
        <w:trPr>
          <w:trHeight w:val="244"/>
        </w:trPr>
        <w:tc>
          <w:tcPr>
            <w:tcW w:w="7260" w:type="dxa"/>
            <w:vAlign w:val="bottom"/>
            <w:gridSpan w:val="3"/>
          </w:tcPr>
          <w:p>
            <w:pPr>
              <w:jc w:val="center"/>
              <w:ind w:right="2900"/>
              <w:spacing w:after="0"/>
              <w:rPr>
                <w:sz w:val="20"/>
                <w:szCs w:val="20"/>
                <w:color w:val="auto"/>
              </w:rPr>
            </w:pPr>
            <w:r>
              <w:rPr>
                <w:rFonts w:ascii="Arial" w:cs="Arial" w:eastAsia="Arial" w:hAnsi="Arial"/>
                <w:sz w:val="14"/>
                <w:szCs w:val="14"/>
                <w:color w:val="auto"/>
                <w:w w:val="91"/>
              </w:rPr>
              <w:t>Common Stock, $0.0001 par value per share</w:t>
            </w:r>
          </w:p>
        </w:tc>
        <w:tc>
          <w:tcPr>
            <w:tcW w:w="4160" w:type="dxa"/>
            <w:vAlign w:val="bottom"/>
          </w:tcPr>
          <w:p>
            <w:pPr>
              <w:jc w:val="right"/>
              <w:ind w:right="1768"/>
              <w:spacing w:after="0"/>
              <w:rPr>
                <w:sz w:val="20"/>
                <w:szCs w:val="20"/>
                <w:color w:val="auto"/>
              </w:rPr>
            </w:pPr>
            <w:r>
              <w:rPr>
                <w:rFonts w:ascii="Arial" w:cs="Arial" w:eastAsia="Arial" w:hAnsi="Arial"/>
                <w:sz w:val="14"/>
                <w:szCs w:val="14"/>
                <w:color w:val="auto"/>
              </w:rPr>
              <w:t>20,867,076</w:t>
            </w:r>
          </w:p>
        </w:tc>
      </w:tr>
      <w:tr>
        <w:trPr>
          <w:trHeight w:val="269"/>
        </w:trPr>
        <w:tc>
          <w:tcPr>
            <w:tcW w:w="436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160" w:type="dxa"/>
            <w:vAlign w:val="bottom"/>
            <w:tcBorders>
              <w:bottom w:val="single" w:sz="8" w:color="auto"/>
            </w:tcBorders>
          </w:tcPr>
          <w:p>
            <w:pPr>
              <w:spacing w:after="0"/>
              <w:rPr>
                <w:sz w:val="23"/>
                <w:szCs w:val="23"/>
                <w:color w:val="auto"/>
              </w:rPr>
            </w:pPr>
          </w:p>
        </w:tc>
      </w:tr>
      <w:tr>
        <w:trPr>
          <w:trHeight w:val="115"/>
        </w:trPr>
        <w:tc>
          <w:tcPr>
            <w:tcW w:w="436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787" w:right="23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INDEX</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160" w:type="dxa"/>
            <w:vAlign w:val="bottom"/>
          </w:tcPr>
          <w:p>
            <w:pPr>
              <w:ind w:left="8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62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Item 1. Financial Statements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gridSpan w:val="2"/>
          </w:tcPr>
          <w:p>
            <w:pPr>
              <w:ind w:left="480"/>
              <w:spacing w:after="0"/>
              <w:rPr>
                <w:sz w:val="20"/>
                <w:szCs w:val="20"/>
                <w:color w:val="auto"/>
              </w:rPr>
            </w:pPr>
            <w:r>
              <w:rPr>
                <w:rFonts w:ascii="Arial" w:cs="Arial" w:eastAsia="Arial" w:hAnsi="Arial"/>
                <w:sz w:val="18"/>
                <w:szCs w:val="18"/>
                <w:color w:val="auto"/>
              </w:rPr>
              <w:t>Condensed Balance Sheets as of September 30, 2018 (unaudited) and December 31, 2017</w:t>
            </w:r>
          </w:p>
        </w:tc>
        <w:tc>
          <w:tcPr>
            <w:tcW w:w="1160" w:type="dxa"/>
            <w:vAlign w:val="bottom"/>
          </w:tcPr>
          <w:p>
            <w:pPr>
              <w:jc w:val="center"/>
              <w:ind w:left="830"/>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458"/>
        </w:trPr>
        <w:tc>
          <w:tcPr>
            <w:tcW w:w="8260" w:type="dxa"/>
            <w:vAlign w:val="bottom"/>
            <w:gridSpan w:val="2"/>
          </w:tcPr>
          <w:p>
            <w:pPr>
              <w:ind w:left="480"/>
              <w:spacing w:after="0"/>
              <w:rPr>
                <w:sz w:val="20"/>
                <w:szCs w:val="20"/>
                <w:color w:val="auto"/>
              </w:rPr>
            </w:pPr>
            <w:r>
              <w:rPr>
                <w:rFonts w:ascii="Arial" w:cs="Arial" w:eastAsia="Arial" w:hAnsi="Arial"/>
                <w:sz w:val="18"/>
                <w:szCs w:val="18"/>
                <w:color w:val="auto"/>
                <w:w w:val="99"/>
              </w:rPr>
              <w:t>Condensed Statements of Operations and Comprehensive Loss (unaudited) for the three and nine</w:t>
            </w:r>
          </w:p>
        </w:tc>
        <w:tc>
          <w:tcPr>
            <w:tcW w:w="1160" w:type="dxa"/>
            <w:vAlign w:val="bottom"/>
            <w:vMerge w:val="restart"/>
          </w:tcPr>
          <w:p>
            <w:pPr>
              <w:jc w:val="center"/>
              <w:ind w:left="830"/>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30"/>
        </w:trPr>
        <w:tc>
          <w:tcPr>
            <w:tcW w:w="8260" w:type="dxa"/>
            <w:vAlign w:val="bottom"/>
            <w:gridSpan w:val="2"/>
          </w:tcPr>
          <w:p>
            <w:pPr>
              <w:ind w:left="600"/>
              <w:spacing w:after="0"/>
              <w:rPr>
                <w:sz w:val="20"/>
                <w:szCs w:val="20"/>
                <w:color w:val="auto"/>
              </w:rPr>
            </w:pPr>
            <w:r>
              <w:rPr>
                <w:rFonts w:ascii="Arial" w:cs="Arial" w:eastAsia="Arial" w:hAnsi="Arial"/>
                <w:sz w:val="18"/>
                <w:szCs w:val="18"/>
                <w:color w:val="auto"/>
              </w:rPr>
              <w:t>month periods ended September 30, 2018 and 2017</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260" w:type="dxa"/>
            <w:vAlign w:val="bottom"/>
            <w:gridSpan w:val="2"/>
          </w:tcPr>
          <w:p>
            <w:pPr>
              <w:ind w:left="480"/>
              <w:spacing w:after="0"/>
              <w:rPr>
                <w:sz w:val="20"/>
                <w:szCs w:val="20"/>
                <w:color w:val="auto"/>
              </w:rPr>
            </w:pPr>
            <w:r>
              <w:rPr>
                <w:rFonts w:ascii="Arial" w:cs="Arial" w:eastAsia="Arial" w:hAnsi="Arial"/>
                <w:sz w:val="18"/>
                <w:szCs w:val="18"/>
                <w:color w:val="auto"/>
              </w:rPr>
              <w:t>Condensed Statements of Cash Flows (unaudited) for the nine month periods ended</w:t>
            </w:r>
          </w:p>
        </w:tc>
        <w:tc>
          <w:tcPr>
            <w:tcW w:w="1160" w:type="dxa"/>
            <w:vAlign w:val="bottom"/>
            <w:vMerge w:val="restart"/>
          </w:tcPr>
          <w:p>
            <w:pPr>
              <w:jc w:val="center"/>
              <w:ind w:left="830"/>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30"/>
        </w:trPr>
        <w:tc>
          <w:tcPr>
            <w:tcW w:w="8260" w:type="dxa"/>
            <w:vAlign w:val="bottom"/>
            <w:gridSpan w:val="2"/>
          </w:tcPr>
          <w:p>
            <w:pPr>
              <w:ind w:left="600"/>
              <w:spacing w:after="0"/>
              <w:rPr>
                <w:sz w:val="20"/>
                <w:szCs w:val="20"/>
                <w:color w:val="auto"/>
              </w:rPr>
            </w:pPr>
            <w:r>
              <w:rPr>
                <w:rFonts w:ascii="Arial" w:cs="Arial" w:eastAsia="Arial" w:hAnsi="Arial"/>
                <w:sz w:val="18"/>
                <w:szCs w:val="18"/>
                <w:color w:val="auto"/>
              </w:rPr>
              <w:t>September 30, 2018 and 2017</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60" w:type="dxa"/>
            <w:vAlign w:val="bottom"/>
            <w:gridSpan w:val="2"/>
          </w:tcPr>
          <w:p>
            <w:pPr>
              <w:ind w:left="480"/>
              <w:spacing w:after="0"/>
              <w:rPr>
                <w:sz w:val="20"/>
                <w:szCs w:val="20"/>
                <w:color w:val="auto"/>
              </w:rPr>
            </w:pPr>
            <w:r>
              <w:rPr>
                <w:rFonts w:ascii="Arial" w:cs="Arial" w:eastAsia="Arial" w:hAnsi="Arial"/>
                <w:sz w:val="18"/>
                <w:szCs w:val="18"/>
                <w:color w:val="auto"/>
              </w:rPr>
              <w:t>Notes to unaudited condensed financial statements</w:t>
            </w:r>
          </w:p>
        </w:tc>
        <w:tc>
          <w:tcPr>
            <w:tcW w:w="1160" w:type="dxa"/>
            <w:vAlign w:val="bottom"/>
          </w:tcPr>
          <w:p>
            <w:pPr>
              <w:jc w:val="center"/>
              <w:ind w:left="830"/>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6</w:t>
              </w:r>
            </w:hyperlink>
          </w:p>
        </w:tc>
        <w:tc>
          <w:tcPr>
            <w:tcW w:w="0" w:type="dxa"/>
            <w:vAlign w:val="bottom"/>
          </w:tcPr>
          <w:p>
            <w:pPr>
              <w:spacing w:after="0"/>
              <w:rPr>
                <w:sz w:val="1"/>
                <w:szCs w:val="1"/>
                <w:color w:val="auto"/>
              </w:rPr>
            </w:pPr>
          </w:p>
        </w:tc>
      </w:tr>
      <w:tr>
        <w:trPr>
          <w:trHeight w:val="458"/>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Item 2. Management's Discussion and Analysis of Financial Condition</w:t>
            </w:r>
          </w:p>
        </w:tc>
        <w:tc>
          <w:tcPr>
            <w:tcW w:w="1160" w:type="dxa"/>
            <w:vAlign w:val="bottom"/>
            <w:vMerge w:val="restart"/>
          </w:tcPr>
          <w:p>
            <w:pPr>
              <w:jc w:val="center"/>
              <w:ind w:left="810"/>
              <w:spacing w:after="0"/>
              <w:rPr>
                <w:rFonts w:ascii="Arial" w:cs="Arial" w:eastAsia="Arial" w:hAnsi="Arial"/>
                <w:sz w:val="18"/>
                <w:szCs w:val="18"/>
                <w:color w:val="auto"/>
                <w:w w:val="89"/>
              </w:rPr>
            </w:pPr>
            <w:hyperlink w:anchor="page16">
              <w:r>
                <w:rPr>
                  <w:rFonts w:ascii="Arial" w:cs="Arial" w:eastAsia="Arial" w:hAnsi="Arial"/>
                  <w:sz w:val="18"/>
                  <w:szCs w:val="18"/>
                  <w:color w:val="auto"/>
                  <w:w w:val="89"/>
                </w:rPr>
                <w:t>16</w:t>
              </w:r>
            </w:hyperlink>
          </w:p>
        </w:tc>
        <w:tc>
          <w:tcPr>
            <w:tcW w:w="0" w:type="dxa"/>
            <w:vAlign w:val="bottom"/>
          </w:tcPr>
          <w:p>
            <w:pPr>
              <w:spacing w:after="0"/>
              <w:rPr>
                <w:sz w:val="1"/>
                <w:szCs w:val="1"/>
                <w:color w:val="auto"/>
              </w:rPr>
            </w:pPr>
          </w:p>
        </w:tc>
      </w:tr>
      <w:tr>
        <w:trPr>
          <w:trHeight w:val="230"/>
        </w:trPr>
        <w:tc>
          <w:tcPr>
            <w:tcW w:w="8260" w:type="dxa"/>
            <w:vAlign w:val="bottom"/>
            <w:gridSpan w:val="2"/>
          </w:tcPr>
          <w:p>
            <w:pPr>
              <w:ind w:left="460"/>
              <w:spacing w:after="0"/>
              <w:rPr>
                <w:sz w:val="20"/>
                <w:szCs w:val="20"/>
                <w:color w:val="auto"/>
              </w:rPr>
            </w:pPr>
            <w:r>
              <w:rPr>
                <w:rFonts w:ascii="Arial" w:cs="Arial" w:eastAsia="Arial" w:hAnsi="Arial"/>
                <w:sz w:val="18"/>
                <w:szCs w:val="18"/>
                <w:color w:val="auto"/>
              </w:rPr>
              <w:t>and Results of Operations</w:t>
            </w: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60" w:type="dxa"/>
            <w:vAlign w:val="bottom"/>
          </w:tcPr>
          <w:p>
            <w:pPr>
              <w:jc w:val="center"/>
              <w:ind w:left="810"/>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21</w:t>
              </w:r>
            </w:hyperlink>
          </w:p>
        </w:tc>
        <w:tc>
          <w:tcPr>
            <w:tcW w:w="0" w:type="dxa"/>
            <w:vAlign w:val="bottom"/>
          </w:tcPr>
          <w:p>
            <w:pPr>
              <w:spacing w:after="0"/>
              <w:rPr>
                <w:sz w:val="1"/>
                <w:szCs w:val="1"/>
                <w:color w:val="auto"/>
              </w:rPr>
            </w:pPr>
          </w:p>
        </w:tc>
      </w:tr>
      <w:tr>
        <w:trPr>
          <w:trHeight w:val="473"/>
        </w:trPr>
        <w:tc>
          <w:tcPr>
            <w:tcW w:w="780" w:type="dxa"/>
            <w:vAlign w:val="bottom"/>
          </w:tcPr>
          <w:p>
            <w:pPr>
              <w:ind w:left="240"/>
              <w:spacing w:after="0"/>
              <w:rPr>
                <w:sz w:val="20"/>
                <w:szCs w:val="20"/>
                <w:color w:val="auto"/>
              </w:rPr>
            </w:pPr>
            <w:r>
              <w:rPr>
                <w:rFonts w:ascii="Arial" w:cs="Arial" w:eastAsia="Arial" w:hAnsi="Arial"/>
                <w:sz w:val="18"/>
                <w:szCs w:val="18"/>
                <w:color w:val="auto"/>
                <w:w w:val="94"/>
              </w:rPr>
              <w:t>Item 4.</w:t>
            </w:r>
          </w:p>
        </w:tc>
        <w:tc>
          <w:tcPr>
            <w:tcW w:w="748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1160" w:type="dxa"/>
            <w:vAlign w:val="bottom"/>
          </w:tcPr>
          <w:p>
            <w:pPr>
              <w:jc w:val="center"/>
              <w:ind w:left="81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47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1160" w:type="dxa"/>
            <w:vAlign w:val="bottom"/>
          </w:tcPr>
          <w:p>
            <w:pPr>
              <w:jc w:val="center"/>
              <w:ind w:left="81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473"/>
        </w:trPr>
        <w:tc>
          <w:tcPr>
            <w:tcW w:w="780" w:type="dxa"/>
            <w:vAlign w:val="bottom"/>
          </w:tcPr>
          <w:p>
            <w:pPr>
              <w:ind w:left="240"/>
              <w:spacing w:after="0"/>
              <w:rPr>
                <w:sz w:val="20"/>
                <w:szCs w:val="20"/>
                <w:color w:val="auto"/>
              </w:rPr>
            </w:pPr>
            <w:r>
              <w:rPr>
                <w:rFonts w:ascii="Arial" w:cs="Arial" w:eastAsia="Arial" w:hAnsi="Arial"/>
                <w:sz w:val="18"/>
                <w:szCs w:val="18"/>
                <w:color w:val="auto"/>
                <w:w w:val="94"/>
              </w:rPr>
              <w:t>Item 1.</w:t>
            </w:r>
          </w:p>
        </w:tc>
        <w:tc>
          <w:tcPr>
            <w:tcW w:w="748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1160" w:type="dxa"/>
            <w:vAlign w:val="bottom"/>
          </w:tcPr>
          <w:p>
            <w:pPr>
              <w:jc w:val="center"/>
              <w:ind w:left="81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473"/>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Item 1A. Risk Factors</w:t>
            </w:r>
          </w:p>
        </w:tc>
        <w:tc>
          <w:tcPr>
            <w:tcW w:w="1160" w:type="dxa"/>
            <w:vAlign w:val="bottom"/>
          </w:tcPr>
          <w:p>
            <w:pPr>
              <w:jc w:val="center"/>
              <w:ind w:left="810"/>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22</w:t>
              </w:r>
            </w:hyperlink>
          </w:p>
        </w:tc>
        <w:tc>
          <w:tcPr>
            <w:tcW w:w="0" w:type="dxa"/>
            <w:vAlign w:val="bottom"/>
          </w:tcPr>
          <w:p>
            <w:pPr>
              <w:spacing w:after="0"/>
              <w:rPr>
                <w:sz w:val="1"/>
                <w:szCs w:val="1"/>
                <w:color w:val="auto"/>
              </w:rPr>
            </w:pPr>
          </w:p>
        </w:tc>
      </w:tr>
      <w:tr>
        <w:trPr>
          <w:trHeight w:val="473"/>
        </w:trPr>
        <w:tc>
          <w:tcPr>
            <w:tcW w:w="780" w:type="dxa"/>
            <w:vAlign w:val="bottom"/>
          </w:tcPr>
          <w:p>
            <w:pPr>
              <w:ind w:left="240"/>
              <w:spacing w:after="0"/>
              <w:rPr>
                <w:sz w:val="20"/>
                <w:szCs w:val="20"/>
                <w:color w:val="auto"/>
              </w:rPr>
            </w:pPr>
            <w:r>
              <w:rPr>
                <w:rFonts w:ascii="Arial" w:cs="Arial" w:eastAsia="Arial" w:hAnsi="Arial"/>
                <w:sz w:val="18"/>
                <w:szCs w:val="18"/>
                <w:color w:val="auto"/>
                <w:w w:val="94"/>
              </w:rPr>
              <w:t>Item 2.</w:t>
            </w:r>
          </w:p>
        </w:tc>
        <w:tc>
          <w:tcPr>
            <w:tcW w:w="748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1160" w:type="dxa"/>
            <w:vAlign w:val="bottom"/>
          </w:tcPr>
          <w:p>
            <w:pPr>
              <w:jc w:val="center"/>
              <w:ind w:left="810"/>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59</w:t>
              </w:r>
            </w:hyperlink>
          </w:p>
        </w:tc>
        <w:tc>
          <w:tcPr>
            <w:tcW w:w="0" w:type="dxa"/>
            <w:vAlign w:val="bottom"/>
          </w:tcPr>
          <w:p>
            <w:pPr>
              <w:spacing w:after="0"/>
              <w:rPr>
                <w:sz w:val="1"/>
                <w:szCs w:val="1"/>
                <w:color w:val="auto"/>
              </w:rPr>
            </w:pPr>
          </w:p>
        </w:tc>
      </w:tr>
      <w:tr>
        <w:trPr>
          <w:trHeight w:val="473"/>
        </w:trPr>
        <w:tc>
          <w:tcPr>
            <w:tcW w:w="780" w:type="dxa"/>
            <w:vAlign w:val="bottom"/>
          </w:tcPr>
          <w:p>
            <w:pPr>
              <w:ind w:left="240"/>
              <w:spacing w:after="0"/>
              <w:rPr>
                <w:sz w:val="20"/>
                <w:szCs w:val="20"/>
                <w:color w:val="auto"/>
              </w:rPr>
            </w:pPr>
            <w:r>
              <w:rPr>
                <w:rFonts w:ascii="Arial" w:cs="Arial" w:eastAsia="Arial" w:hAnsi="Arial"/>
                <w:sz w:val="18"/>
                <w:szCs w:val="18"/>
                <w:color w:val="auto"/>
                <w:w w:val="94"/>
              </w:rPr>
              <w:t>Item 6.</w:t>
            </w:r>
          </w:p>
        </w:tc>
        <w:tc>
          <w:tcPr>
            <w:tcW w:w="7480" w:type="dxa"/>
            <w:vAlign w:val="bottom"/>
          </w:tcPr>
          <w:p>
            <w:pPr>
              <w:ind w:left="20"/>
              <w:spacing w:after="0"/>
              <w:rPr>
                <w:sz w:val="20"/>
                <w:szCs w:val="20"/>
                <w:color w:val="auto"/>
              </w:rPr>
            </w:pPr>
            <w:r>
              <w:rPr>
                <w:rFonts w:ascii="Arial" w:cs="Arial" w:eastAsia="Arial" w:hAnsi="Arial"/>
                <w:sz w:val="18"/>
                <w:szCs w:val="18"/>
                <w:color w:val="auto"/>
              </w:rPr>
              <w:t>Exhibits</w:t>
            </w:r>
          </w:p>
        </w:tc>
        <w:tc>
          <w:tcPr>
            <w:tcW w:w="1160" w:type="dxa"/>
            <w:vAlign w:val="bottom"/>
          </w:tcPr>
          <w:p>
            <w:pPr>
              <w:jc w:val="center"/>
              <w:ind w:left="810"/>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60</w:t>
              </w:r>
            </w:hyperlink>
          </w:p>
        </w:tc>
        <w:tc>
          <w:tcPr>
            <w:tcW w:w="0" w:type="dxa"/>
            <w:vAlign w:val="bottom"/>
          </w:tcPr>
          <w:p>
            <w:pPr>
              <w:spacing w:after="0"/>
              <w:rPr>
                <w:sz w:val="1"/>
                <w:szCs w:val="1"/>
                <w:color w:val="auto"/>
              </w:rPr>
            </w:pPr>
          </w:p>
        </w:tc>
      </w:tr>
      <w:tr>
        <w:trPr>
          <w:trHeight w:val="47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1160" w:type="dxa"/>
            <w:vAlign w:val="bottom"/>
          </w:tcPr>
          <w:p>
            <w:pPr>
              <w:jc w:val="center"/>
              <w:ind w:left="810"/>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420"/>
          </w:cols>
          <w:pgMar w:left="1180" w:top="364" w:right="1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XERIS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Balance Sheets</w:t>
      </w:r>
    </w:p>
    <w:p>
      <w:pPr>
        <w:jc w:val="center"/>
        <w:spacing w:after="0"/>
        <w:rPr>
          <w:sz w:val="20"/>
          <w:szCs w:val="20"/>
          <w:color w:val="auto"/>
        </w:rPr>
      </w:pPr>
      <w:r>
        <w:rPr>
          <w:rFonts w:ascii="Arial" w:cs="Arial" w:eastAsia="Arial" w:hAnsi="Arial"/>
          <w:sz w:val="18"/>
          <w:szCs w:val="18"/>
          <w:color w:val="auto"/>
        </w:rPr>
        <w:t>(in thousands, except share and par value)</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September 30, 2018</w:t>
            </w:r>
          </w:p>
        </w:tc>
        <w:tc>
          <w:tcPr>
            <w:tcW w:w="260" w:type="dxa"/>
            <w:vAlign w:val="bottom"/>
          </w:tcPr>
          <w:p>
            <w:pPr>
              <w:spacing w:after="0"/>
              <w:rPr>
                <w:sz w:val="19"/>
                <w:szCs w:val="19"/>
                <w:color w:val="auto"/>
              </w:rPr>
            </w:pPr>
          </w:p>
        </w:tc>
        <w:tc>
          <w:tcPr>
            <w:tcW w:w="1920" w:type="dxa"/>
            <w:vAlign w:val="bottom"/>
          </w:tcPr>
          <w:p>
            <w:pPr>
              <w:jc w:val="right"/>
              <w:ind w:right="315"/>
              <w:spacing w:after="0"/>
              <w:rPr>
                <w:sz w:val="20"/>
                <w:szCs w:val="20"/>
                <w:color w:val="auto"/>
              </w:rPr>
            </w:pPr>
            <w:r>
              <w:rPr>
                <w:rFonts w:ascii="Arial" w:cs="Arial" w:eastAsia="Arial" w:hAnsi="Arial"/>
                <w:sz w:val="17"/>
                <w:szCs w:val="17"/>
                <w:b w:val="1"/>
                <w:bCs w:val="1"/>
                <w:color w:val="auto"/>
                <w:w w:val="97"/>
              </w:rPr>
              <w:t>December 31, 2017</w:t>
            </w:r>
          </w:p>
        </w:tc>
        <w:tc>
          <w:tcPr>
            <w:tcW w:w="0" w:type="dxa"/>
            <w:vAlign w:val="bottom"/>
          </w:tcPr>
          <w:p>
            <w:pPr>
              <w:spacing w:after="0"/>
              <w:rPr>
                <w:sz w:val="1"/>
                <w:szCs w:val="1"/>
                <w:color w:val="auto"/>
              </w:rPr>
            </w:pPr>
          </w:p>
        </w:tc>
      </w:tr>
      <w:tr>
        <w:trPr>
          <w:trHeight w:val="45"/>
        </w:trPr>
        <w:tc>
          <w:tcPr>
            <w:tcW w:w="6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(unaudited)</w:t>
            </w: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75,745</w:t>
            </w:r>
          </w:p>
        </w:tc>
        <w:tc>
          <w:tcPr>
            <w:tcW w:w="100" w:type="dxa"/>
            <w:vAlign w:val="bottom"/>
          </w:tcPr>
          <w:p>
            <w:pPr>
              <w:spacing w:after="0"/>
              <w:rPr>
                <w:sz w:val="23"/>
                <w:szCs w:val="23"/>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42,045</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Short-term investments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55,296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1,731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1,199</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2,898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45"/>
        </w:trPr>
        <w:tc>
          <w:tcPr>
            <w:tcW w:w="6900" w:type="dxa"/>
            <w:vAlign w:val="bottom"/>
            <w:vMerge w:val="restart"/>
          </w:tcPr>
          <w:p>
            <w:pPr>
              <w:ind w:left="560"/>
              <w:spacing w:after="0"/>
              <w:rPr>
                <w:sz w:val="20"/>
                <w:szCs w:val="20"/>
                <w:color w:val="auto"/>
              </w:rPr>
            </w:pPr>
            <w:r>
              <w:rPr>
                <w:rFonts w:ascii="Arial" w:cs="Arial" w:eastAsia="Arial" w:hAnsi="Arial"/>
                <w:sz w:val="17"/>
                <w:szCs w:val="17"/>
                <w:color w:val="auto"/>
              </w:rPr>
              <w:t>Total current assets</w:t>
            </w:r>
          </w:p>
        </w:tc>
        <w:tc>
          <w:tcPr>
            <w:tcW w:w="2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135,670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44,053</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60" w:type="dxa"/>
            <w:vAlign w:val="bottom"/>
          </w:tcPr>
          <w:p>
            <w:pPr>
              <w:spacing w:after="0"/>
              <w:rPr>
                <w:sz w:val="22"/>
                <w:szCs w:val="22"/>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1,826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7"/>
                <w:szCs w:val="17"/>
                <w:color w:val="auto"/>
              </w:rPr>
              <w:t>Other assets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45"/>
        </w:trPr>
        <w:tc>
          <w:tcPr>
            <w:tcW w:w="6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900" w:type="dxa"/>
            <w:vAlign w:val="bottom"/>
          </w:tcPr>
          <w:p>
            <w:pPr>
              <w:ind w:left="560"/>
              <w:spacing w:after="0"/>
              <w:rPr>
                <w:sz w:val="20"/>
                <w:szCs w:val="20"/>
                <w:color w:val="auto"/>
              </w:rPr>
            </w:pPr>
            <w:r>
              <w:rPr>
                <w:rFonts w:ascii="Arial" w:cs="Arial" w:eastAsia="Arial" w:hAnsi="Arial"/>
                <w:sz w:val="17"/>
                <w:szCs w:val="17"/>
                <w:color w:val="auto"/>
              </w:rPr>
              <w:t>Total assets</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137,591</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44,998</w:t>
            </w:r>
          </w:p>
        </w:tc>
        <w:tc>
          <w:tcPr>
            <w:tcW w:w="0" w:type="dxa"/>
            <w:vAlign w:val="bottom"/>
          </w:tcPr>
          <w:p>
            <w:pPr>
              <w:spacing w:after="0"/>
              <w:rPr>
                <w:sz w:val="1"/>
                <w:szCs w:val="1"/>
                <w:color w:val="auto"/>
              </w:rPr>
            </w:pPr>
          </w:p>
        </w:tc>
      </w:tr>
      <w:tr>
        <w:trPr>
          <w:trHeight w:val="31"/>
        </w:trPr>
        <w:tc>
          <w:tcPr>
            <w:tcW w:w="69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900" w:type="dxa"/>
            <w:vAlign w:val="bottom"/>
          </w:tcPr>
          <w:p>
            <w:pPr>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23"/>
                <w:szCs w:val="23"/>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Accrued expenses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6,260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2,557</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Warrant liabilities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Deferred grant award</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45"/>
        </w:trPr>
        <w:tc>
          <w:tcPr>
            <w:tcW w:w="6900" w:type="dxa"/>
            <w:vAlign w:val="bottom"/>
            <w:vMerge w:val="restart"/>
          </w:tcPr>
          <w:p>
            <w:pPr>
              <w:ind w:left="560"/>
              <w:spacing w:after="0"/>
              <w:rPr>
                <w:sz w:val="20"/>
                <w:szCs w:val="20"/>
                <w:color w:val="auto"/>
              </w:rPr>
            </w:pPr>
            <w:r>
              <w:rPr>
                <w:rFonts w:ascii="Arial" w:cs="Arial" w:eastAsia="Arial" w:hAnsi="Arial"/>
                <w:sz w:val="17"/>
                <w:szCs w:val="17"/>
                <w:color w:val="auto"/>
              </w:rPr>
              <w:t>Total current liabilities</w:t>
            </w:r>
          </w:p>
        </w:tc>
        <w:tc>
          <w:tcPr>
            <w:tcW w:w="2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8,208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4,860</w:t>
            </w:r>
          </w:p>
        </w:tc>
        <w:tc>
          <w:tcPr>
            <w:tcW w:w="0" w:type="dxa"/>
            <w:vAlign w:val="bottom"/>
          </w:tcPr>
          <w:p>
            <w:pPr>
              <w:spacing w:after="0"/>
              <w:rPr>
                <w:sz w:val="1"/>
                <w:szCs w:val="1"/>
                <w:color w:val="auto"/>
              </w:rPr>
            </w:pPr>
          </w:p>
        </w:tc>
      </w:tr>
      <w:tr>
        <w:trPr>
          <w:trHeight w:val="257"/>
        </w:trPr>
        <w:tc>
          <w:tcPr>
            <w:tcW w:w="6900" w:type="dxa"/>
            <w:vAlign w:val="bottom"/>
          </w:tcPr>
          <w:p>
            <w:pPr>
              <w:ind w:left="340"/>
              <w:spacing w:after="0"/>
              <w:rPr>
                <w:sz w:val="20"/>
                <w:szCs w:val="20"/>
                <w:color w:val="auto"/>
              </w:rPr>
            </w:pPr>
            <w:r>
              <w:rPr>
                <w:rFonts w:ascii="Arial" w:cs="Arial" w:eastAsia="Arial" w:hAnsi="Arial"/>
                <w:sz w:val="17"/>
                <w:szCs w:val="17"/>
                <w:color w:val="auto"/>
              </w:rPr>
              <w:t>Long-term debt, net of unamortized deferred costs</w:t>
            </w:r>
          </w:p>
        </w:tc>
        <w:tc>
          <w:tcPr>
            <w:tcW w:w="260" w:type="dxa"/>
            <w:vAlign w:val="bottom"/>
          </w:tcPr>
          <w:p>
            <w:pPr>
              <w:spacing w:after="0"/>
              <w:rPr>
                <w:sz w:val="22"/>
                <w:szCs w:val="22"/>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31,642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6900" w:type="dxa"/>
            <w:vAlign w:val="bottom"/>
          </w:tcPr>
          <w:p>
            <w:pPr>
              <w:ind w:left="34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23"/>
                <w:szCs w:val="23"/>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2,621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45"/>
        </w:trPr>
        <w:tc>
          <w:tcPr>
            <w:tcW w:w="6900" w:type="dxa"/>
            <w:vAlign w:val="bottom"/>
            <w:vMerge w:val="restart"/>
          </w:tcPr>
          <w:p>
            <w:pPr>
              <w:ind w:left="56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ind w:right="275"/>
              <w:spacing w:after="0"/>
              <w:rPr>
                <w:sz w:val="20"/>
                <w:szCs w:val="20"/>
                <w:color w:val="auto"/>
              </w:rPr>
            </w:pPr>
            <w:r>
              <w:rPr>
                <w:rFonts w:ascii="Arial" w:cs="Arial" w:eastAsia="Arial" w:hAnsi="Arial"/>
                <w:sz w:val="17"/>
                <w:szCs w:val="17"/>
                <w:color w:val="auto"/>
              </w:rPr>
              <w:t>42,471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4,950</w:t>
            </w:r>
          </w:p>
        </w:tc>
        <w:tc>
          <w:tcPr>
            <w:tcW w:w="0" w:type="dxa"/>
            <w:vAlign w:val="bottom"/>
          </w:tcPr>
          <w:p>
            <w:pPr>
              <w:spacing w:after="0"/>
              <w:rPr>
                <w:sz w:val="1"/>
                <w:szCs w:val="1"/>
                <w:color w:val="auto"/>
              </w:rPr>
            </w:pPr>
          </w:p>
        </w:tc>
      </w:tr>
      <w:tr>
        <w:trPr>
          <w:trHeight w:val="419"/>
        </w:trPr>
        <w:tc>
          <w:tcPr>
            <w:tcW w:w="6900" w:type="dxa"/>
            <w:vAlign w:val="bottom"/>
          </w:tcPr>
          <w:p>
            <w:pPr>
              <w:spacing w:after="0"/>
              <w:rPr>
                <w:sz w:val="20"/>
                <w:szCs w:val="20"/>
                <w:color w:val="auto"/>
              </w:rPr>
            </w:pPr>
            <w:r>
              <w:rPr>
                <w:rFonts w:ascii="Arial" w:cs="Arial" w:eastAsia="Arial" w:hAnsi="Arial"/>
                <w:sz w:val="17"/>
                <w:szCs w:val="17"/>
                <w:color w:val="auto"/>
              </w:rPr>
              <w:t>Commitments and Contingencies (Note 8)</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00" w:type="dxa"/>
            <w:vAlign w:val="bottom"/>
          </w:tcPr>
          <w:p>
            <w:pPr>
              <w:ind w:left="300"/>
              <w:spacing w:after="0"/>
              <w:rPr>
                <w:sz w:val="20"/>
                <w:szCs w:val="20"/>
                <w:color w:val="auto"/>
              </w:rPr>
            </w:pPr>
            <w:r>
              <w:rPr>
                <w:rFonts w:ascii="Arial" w:cs="Arial" w:eastAsia="Arial" w:hAnsi="Arial"/>
                <w:sz w:val="17"/>
                <w:szCs w:val="17"/>
                <w:color w:val="auto"/>
                <w:w w:val="95"/>
              </w:rPr>
              <w:t>Series A Convertible Preferred Stock—par value $0.0001, 1,864,797 shares authorized and</w:t>
            </w:r>
          </w:p>
        </w:tc>
        <w:tc>
          <w:tcPr>
            <w:tcW w:w="260" w:type="dxa"/>
            <w:vAlign w:val="bottom"/>
          </w:tcPr>
          <w:p>
            <w:pPr>
              <w:spacing w:after="0"/>
              <w:rPr>
                <w:sz w:val="22"/>
                <w:szCs w:val="22"/>
                <w:color w:val="auto"/>
              </w:rPr>
            </w:pPr>
          </w:p>
        </w:tc>
        <w:tc>
          <w:tcPr>
            <w:tcW w:w="20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920" w:type="dxa"/>
            <w:vAlign w:val="bottom"/>
            <w:vMerge w:val="restart"/>
          </w:tcPr>
          <w:p>
            <w:pPr>
              <w:jc w:val="right"/>
              <w:ind w:right="275"/>
              <w:spacing w:after="0"/>
              <w:rPr>
                <w:sz w:val="20"/>
                <w:szCs w:val="20"/>
                <w:color w:val="auto"/>
              </w:rPr>
            </w:pPr>
            <w:r>
              <w:rPr>
                <w:rFonts w:ascii="Arial" w:cs="Arial" w:eastAsia="Arial" w:hAnsi="Arial"/>
                <w:sz w:val="17"/>
                <w:szCs w:val="17"/>
                <w:color w:val="auto"/>
              </w:rPr>
              <w:t>1,945</w:t>
            </w:r>
          </w:p>
        </w:tc>
        <w:tc>
          <w:tcPr>
            <w:tcW w:w="0" w:type="dxa"/>
            <w:vAlign w:val="bottom"/>
          </w:tcPr>
          <w:p>
            <w:pPr>
              <w:spacing w:after="0"/>
              <w:rPr>
                <w:sz w:val="1"/>
                <w:szCs w:val="1"/>
                <w:color w:val="auto"/>
              </w:rPr>
            </w:pPr>
          </w:p>
        </w:tc>
      </w:tr>
      <w:tr>
        <w:trPr>
          <w:trHeight w:val="108"/>
        </w:trPr>
        <w:tc>
          <w:tcPr>
            <w:tcW w:w="6900" w:type="dxa"/>
            <w:vAlign w:val="bottom"/>
            <w:vMerge w:val="restart"/>
          </w:tcPr>
          <w:p>
            <w:pPr>
              <w:ind w:left="620"/>
              <w:spacing w:after="0"/>
              <w:rPr>
                <w:sz w:val="20"/>
                <w:szCs w:val="20"/>
                <w:color w:val="auto"/>
              </w:rPr>
            </w:pPr>
            <w:r>
              <w:rPr>
                <w:rFonts w:ascii="Arial" w:cs="Arial" w:eastAsia="Arial" w:hAnsi="Arial"/>
                <w:sz w:val="17"/>
                <w:szCs w:val="17"/>
                <w:color w:val="auto"/>
              </w:rPr>
              <w:t>1,843,965 shares issued and outstanding as of December 31, 2017</w:t>
            </w:r>
          </w:p>
        </w:tc>
        <w:tc>
          <w:tcPr>
            <w:tcW w:w="2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300"/>
              <w:spacing w:after="0"/>
              <w:rPr>
                <w:sz w:val="20"/>
                <w:szCs w:val="20"/>
                <w:color w:val="auto"/>
              </w:rPr>
            </w:pPr>
            <w:r>
              <w:rPr>
                <w:rFonts w:ascii="Arial" w:cs="Arial" w:eastAsia="Arial" w:hAnsi="Arial"/>
                <w:sz w:val="17"/>
                <w:szCs w:val="17"/>
                <w:color w:val="auto"/>
                <w:w w:val="95"/>
              </w:rPr>
              <w:t>Series B Convertible Preferred Stock—par value $0.0001, 5,732,338 shares authorized and</w:t>
            </w:r>
          </w:p>
        </w:tc>
        <w:tc>
          <w:tcPr>
            <w:tcW w:w="260" w:type="dxa"/>
            <w:vAlign w:val="bottom"/>
          </w:tcPr>
          <w:p>
            <w:pPr>
              <w:spacing w:after="0"/>
              <w:rPr>
                <w:sz w:val="21"/>
                <w:szCs w:val="21"/>
                <w:color w:val="auto"/>
              </w:rPr>
            </w:pPr>
          </w:p>
        </w:tc>
        <w:tc>
          <w:tcPr>
            <w:tcW w:w="20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920" w:type="dxa"/>
            <w:vAlign w:val="bottom"/>
            <w:vMerge w:val="restart"/>
          </w:tcPr>
          <w:p>
            <w:pPr>
              <w:jc w:val="right"/>
              <w:ind w:right="275"/>
              <w:spacing w:after="0"/>
              <w:rPr>
                <w:sz w:val="20"/>
                <w:szCs w:val="20"/>
                <w:color w:val="auto"/>
              </w:rPr>
            </w:pPr>
            <w:r>
              <w:rPr>
                <w:rFonts w:ascii="Arial" w:cs="Arial" w:eastAsia="Arial" w:hAnsi="Arial"/>
                <w:sz w:val="17"/>
                <w:szCs w:val="17"/>
                <w:color w:val="auto"/>
              </w:rPr>
              <w:t>18,536</w:t>
            </w:r>
          </w:p>
        </w:tc>
        <w:tc>
          <w:tcPr>
            <w:tcW w:w="0" w:type="dxa"/>
            <w:vAlign w:val="bottom"/>
          </w:tcPr>
          <w:p>
            <w:pPr>
              <w:spacing w:after="0"/>
              <w:rPr>
                <w:sz w:val="1"/>
                <w:szCs w:val="1"/>
                <w:color w:val="auto"/>
              </w:rPr>
            </w:pPr>
          </w:p>
        </w:tc>
      </w:tr>
      <w:tr>
        <w:trPr>
          <w:trHeight w:val="108"/>
        </w:trPr>
        <w:tc>
          <w:tcPr>
            <w:tcW w:w="6900" w:type="dxa"/>
            <w:vAlign w:val="bottom"/>
            <w:vMerge w:val="restart"/>
          </w:tcPr>
          <w:p>
            <w:pPr>
              <w:ind w:left="620"/>
              <w:spacing w:after="0"/>
              <w:rPr>
                <w:sz w:val="20"/>
                <w:szCs w:val="20"/>
                <w:color w:val="auto"/>
              </w:rPr>
            </w:pPr>
            <w:r>
              <w:rPr>
                <w:rFonts w:ascii="Arial" w:cs="Arial" w:eastAsia="Arial" w:hAnsi="Arial"/>
                <w:sz w:val="17"/>
                <w:szCs w:val="17"/>
                <w:color w:val="auto"/>
              </w:rPr>
              <w:t>5,696,834 shares issued and outstanding as of December 31, 2017</w:t>
            </w:r>
          </w:p>
        </w:tc>
        <w:tc>
          <w:tcPr>
            <w:tcW w:w="2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300"/>
              <w:spacing w:after="0"/>
              <w:rPr>
                <w:sz w:val="20"/>
                <w:szCs w:val="20"/>
                <w:color w:val="auto"/>
              </w:rPr>
            </w:pPr>
            <w:r>
              <w:rPr>
                <w:rFonts w:ascii="Arial" w:cs="Arial" w:eastAsia="Arial" w:hAnsi="Arial"/>
                <w:sz w:val="17"/>
                <w:szCs w:val="17"/>
                <w:color w:val="auto"/>
                <w:w w:val="94"/>
              </w:rPr>
              <w:t>Series C Convertible Preferred Stock—par value $0.0001, 14,353,859 shares authorized and</w:t>
            </w:r>
          </w:p>
        </w:tc>
        <w:tc>
          <w:tcPr>
            <w:tcW w:w="260" w:type="dxa"/>
            <w:vAlign w:val="bottom"/>
          </w:tcPr>
          <w:p>
            <w:pPr>
              <w:spacing w:after="0"/>
              <w:rPr>
                <w:sz w:val="21"/>
                <w:szCs w:val="21"/>
                <w:color w:val="auto"/>
              </w:rPr>
            </w:pPr>
          </w:p>
        </w:tc>
        <w:tc>
          <w:tcPr>
            <w:tcW w:w="2040" w:type="dxa"/>
            <w:vAlign w:val="bottom"/>
            <w:gridSpan w:val="2"/>
            <w:vMerge w:val="restart"/>
          </w:tcPr>
          <w:p>
            <w:pPr>
              <w:jc w:val="right"/>
              <w:ind w:righ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920" w:type="dxa"/>
            <w:vAlign w:val="bottom"/>
            <w:vMerge w:val="restart"/>
          </w:tcPr>
          <w:p>
            <w:pPr>
              <w:jc w:val="right"/>
              <w:ind w:right="275"/>
              <w:spacing w:after="0"/>
              <w:rPr>
                <w:sz w:val="20"/>
                <w:szCs w:val="20"/>
                <w:color w:val="auto"/>
              </w:rPr>
            </w:pPr>
            <w:r>
              <w:rPr>
                <w:rFonts w:ascii="Arial" w:cs="Arial" w:eastAsia="Arial" w:hAnsi="Arial"/>
                <w:sz w:val="17"/>
                <w:szCs w:val="17"/>
                <w:color w:val="auto"/>
              </w:rPr>
              <w:t>77,397</w:t>
            </w:r>
          </w:p>
        </w:tc>
        <w:tc>
          <w:tcPr>
            <w:tcW w:w="0" w:type="dxa"/>
            <w:vAlign w:val="bottom"/>
          </w:tcPr>
          <w:p>
            <w:pPr>
              <w:spacing w:after="0"/>
              <w:rPr>
                <w:sz w:val="1"/>
                <w:szCs w:val="1"/>
                <w:color w:val="auto"/>
              </w:rPr>
            </w:pPr>
          </w:p>
        </w:tc>
      </w:tr>
      <w:tr>
        <w:trPr>
          <w:trHeight w:val="108"/>
        </w:trPr>
        <w:tc>
          <w:tcPr>
            <w:tcW w:w="6900" w:type="dxa"/>
            <w:vAlign w:val="bottom"/>
            <w:vMerge w:val="restart"/>
          </w:tcPr>
          <w:p>
            <w:pPr>
              <w:ind w:left="620"/>
              <w:spacing w:after="0"/>
              <w:rPr>
                <w:sz w:val="20"/>
                <w:szCs w:val="20"/>
                <w:color w:val="auto"/>
              </w:rPr>
            </w:pPr>
            <w:r>
              <w:rPr>
                <w:rFonts w:ascii="Arial" w:cs="Arial" w:eastAsia="Arial" w:hAnsi="Arial"/>
                <w:sz w:val="17"/>
                <w:szCs w:val="17"/>
                <w:color w:val="auto"/>
              </w:rPr>
              <w:t>12,834,912 shares issued and outstanding as of December 31, 2017</w:t>
            </w:r>
          </w:p>
        </w:tc>
        <w:tc>
          <w:tcPr>
            <w:tcW w:w="26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9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6900" w:type="dxa"/>
            <w:vAlign w:val="bottom"/>
            <w:vMerge w:val="restart"/>
          </w:tcPr>
          <w:p>
            <w:pPr>
              <w:ind w:left="620"/>
              <w:spacing w:after="0"/>
              <w:rPr>
                <w:sz w:val="20"/>
                <w:szCs w:val="20"/>
                <w:color w:val="auto"/>
              </w:rPr>
            </w:pPr>
            <w:r>
              <w:rPr>
                <w:rFonts w:ascii="Arial" w:cs="Arial" w:eastAsia="Arial" w:hAnsi="Arial"/>
                <w:sz w:val="17"/>
                <w:szCs w:val="17"/>
                <w:color w:val="auto"/>
              </w:rPr>
              <w:t>Total convertible preferred stock</w:t>
            </w: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920" w:type="dxa"/>
            <w:vAlign w:val="bottom"/>
          </w:tcPr>
          <w:p>
            <w:pPr>
              <w:jc w:val="right"/>
              <w:ind w:right="275"/>
              <w:spacing w:after="0"/>
              <w:rPr>
                <w:sz w:val="20"/>
                <w:szCs w:val="20"/>
                <w:color w:val="auto"/>
              </w:rPr>
            </w:pPr>
            <w:r>
              <w:rPr>
                <w:rFonts w:ascii="Arial" w:cs="Arial" w:eastAsia="Arial" w:hAnsi="Arial"/>
                <w:sz w:val="17"/>
                <w:szCs w:val="17"/>
                <w:color w:val="auto"/>
              </w:rPr>
              <w:t>97,878</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7"/>
                <w:szCs w:val="17"/>
                <w:color w:val="auto"/>
              </w:rPr>
              <w:t>Stockholders’ Equity (Deficit):</w:t>
            </w:r>
          </w:p>
        </w:tc>
        <w:tc>
          <w:tcPr>
            <w:tcW w:w="2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1">
            <w:col w:w="11420"/>
          </w:cols>
          <w:pgMar w:left="240" w:top="364" w:right="239" w:bottom="1440" w:gutter="0" w:footer="0" w:header="0"/>
        </w:sectPr>
      </w:pPr>
    </w:p>
    <w:p>
      <w:pPr>
        <w:ind w:left="660" w:right="1260" w:hanging="323"/>
        <w:spacing w:after="0" w:line="299" w:lineRule="auto"/>
        <w:rPr>
          <w:sz w:val="20"/>
          <w:szCs w:val="20"/>
          <w:color w:val="auto"/>
        </w:rPr>
      </w:pPr>
      <w:r>
        <w:rPr>
          <w:rFonts w:ascii="Arial" w:cs="Arial" w:eastAsia="Arial" w:hAnsi="Arial"/>
          <w:sz w:val="16"/>
          <w:szCs w:val="16"/>
          <w:color w:val="auto"/>
        </w:rPr>
        <w:t>Preferred stock—par value $0.0001, 10,000,000 shares authorized as of September 30, 2018 and no shares issued and outstanding as of September 30, 2018</w:t>
      </w:r>
    </w:p>
    <w:p>
      <w:pPr>
        <w:spacing w:after="0" w:line="1" w:lineRule="exact"/>
        <w:rPr>
          <w:sz w:val="20"/>
          <w:szCs w:val="20"/>
          <w:color w:val="auto"/>
        </w:rPr>
      </w:pPr>
    </w:p>
    <w:p>
      <w:pPr>
        <w:ind w:left="660" w:right="1400" w:hanging="323"/>
        <w:spacing w:after="0" w:line="257" w:lineRule="auto"/>
        <w:rPr>
          <w:sz w:val="20"/>
          <w:szCs w:val="20"/>
          <w:color w:val="auto"/>
        </w:rPr>
      </w:pPr>
      <w:r>
        <w:rPr>
          <w:rFonts w:ascii="Arial" w:cs="Arial" w:eastAsia="Arial" w:hAnsi="Arial"/>
          <w:sz w:val="17"/>
          <w:szCs w:val="17"/>
          <w:color w:val="auto"/>
        </w:rPr>
        <w:t>Common stock—par value $0.0001, 150,000,000 and 30,450,994 shares authorized as of September 30, 2018 and December 31, 2017, respectively; 20,755,666 and 2,159,068 shares issued and outstanding as of September 30, 2018 and December 31, 2017, respectively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2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78" w:lineRule="exact"/>
        <w:rPr>
          <w:sz w:val="20"/>
          <w:szCs w:val="20"/>
          <w:color w:val="auto"/>
        </w:rPr>
      </w:pPr>
    </w:p>
    <w:p>
      <w:pPr>
        <w:ind w:left="80"/>
        <w:spacing w:after="0"/>
        <w:tabs>
          <w:tab w:leader="none" w:pos="23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1</w:t>
      </w:r>
    </w:p>
    <w:p>
      <w:pPr>
        <w:spacing w:after="0" w:line="406" w:lineRule="exact"/>
        <w:rPr>
          <w:sz w:val="20"/>
          <w:szCs w:val="20"/>
          <w:color w:val="auto"/>
        </w:rPr>
      </w:pPr>
    </w:p>
    <w:p>
      <w:pPr>
        <w:sectPr>
          <w:pgSz w:w="11900" w:h="16838" w:orient="portrait"/>
          <w:cols w:equalWidth="0" w:num="2">
            <w:col w:w="7900" w:space="720"/>
            <w:col w:w="2800"/>
          </w:cols>
          <w:pgMar w:left="240" w:top="364" w:right="239" w:bottom="1440" w:gutter="0" w:footer="0" w:header="0"/>
          <w:type w:val="continuous"/>
        </w:sectPr>
      </w:pPr>
    </w:p>
    <w:tbl>
      <w:tblPr>
        <w:tblLayout w:type="fixed"/>
        <w:tblInd w:w="34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7"/>
                <w:szCs w:val="17"/>
                <w:color w:val="auto"/>
              </w:rPr>
              <w:t>Additional paid in capital</w:t>
            </w:r>
          </w:p>
        </w:tc>
        <w:tc>
          <w:tcPr>
            <w:tcW w:w="680" w:type="dxa"/>
            <w:vAlign w:val="bottom"/>
          </w:tcPr>
          <w:p>
            <w:pPr>
              <w:spacing w:after="0"/>
              <w:rPr>
                <w:sz w:val="18"/>
                <w:szCs w:val="18"/>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195,422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jc w:val="right"/>
              <w:ind w:right="275"/>
              <w:spacing w:after="0"/>
              <w:rPr>
                <w:sz w:val="20"/>
                <w:szCs w:val="20"/>
                <w:color w:val="auto"/>
              </w:rPr>
            </w:pPr>
            <w:r>
              <w:rPr>
                <w:rFonts w:ascii="Arial" w:cs="Arial" w:eastAsia="Arial" w:hAnsi="Arial"/>
                <w:sz w:val="17"/>
                <w:szCs w:val="17"/>
                <w:color w:val="auto"/>
              </w:rPr>
              <w:t>2,754</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7"/>
                <w:szCs w:val="17"/>
                <w:color w:val="auto"/>
              </w:rPr>
              <w:t>Accumulated deficit</w:t>
            </w:r>
          </w:p>
        </w:tc>
        <w:tc>
          <w:tcPr>
            <w:tcW w:w="680" w:type="dxa"/>
            <w:vAlign w:val="bottom"/>
          </w:tcPr>
          <w:p>
            <w:pPr>
              <w:spacing w:after="0"/>
              <w:rPr>
                <w:sz w:val="23"/>
                <w:szCs w:val="23"/>
                <w:color w:val="auto"/>
              </w:rPr>
            </w:pPr>
          </w:p>
        </w:tc>
        <w:tc>
          <w:tcPr>
            <w:tcW w:w="1520" w:type="dxa"/>
            <w:vAlign w:val="bottom"/>
          </w:tcPr>
          <w:p>
            <w:pPr>
              <w:jc w:val="right"/>
              <w:ind w:right="215"/>
              <w:spacing w:after="0"/>
              <w:rPr>
                <w:sz w:val="20"/>
                <w:szCs w:val="20"/>
                <w:color w:val="auto"/>
              </w:rPr>
            </w:pPr>
            <w:r>
              <w:rPr>
                <w:rFonts w:ascii="Arial" w:cs="Arial" w:eastAsia="Arial" w:hAnsi="Arial"/>
                <w:sz w:val="17"/>
                <w:szCs w:val="17"/>
                <w:color w:val="auto"/>
              </w:rPr>
              <w:t>(100,246)</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tcPr>
          <w:p>
            <w:pPr>
              <w:jc w:val="right"/>
              <w:ind w:right="215"/>
              <w:spacing w:after="0"/>
              <w:rPr>
                <w:sz w:val="20"/>
                <w:szCs w:val="20"/>
                <w:color w:val="auto"/>
              </w:rPr>
            </w:pPr>
            <w:r>
              <w:rPr>
                <w:rFonts w:ascii="Arial" w:cs="Arial" w:eastAsia="Arial" w:hAnsi="Arial"/>
                <w:sz w:val="17"/>
                <w:szCs w:val="17"/>
                <w:color w:val="auto"/>
              </w:rPr>
              <w:t>(60,585)</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680" w:type="dxa"/>
            <w:vAlign w:val="bottom"/>
          </w:tcPr>
          <w:p>
            <w:pPr>
              <w:spacing w:after="0"/>
              <w:rPr>
                <w:sz w:val="23"/>
                <w:szCs w:val="23"/>
                <w:color w:val="auto"/>
              </w:rPr>
            </w:pPr>
          </w:p>
        </w:tc>
        <w:tc>
          <w:tcPr>
            <w:tcW w:w="1520" w:type="dxa"/>
            <w:vAlign w:val="bottom"/>
          </w:tcPr>
          <w:p>
            <w:pPr>
              <w:jc w:val="right"/>
              <w:ind w:right="215"/>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6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5"/>
        </w:trPr>
        <w:tc>
          <w:tcPr>
            <w:tcW w:w="6600" w:type="dxa"/>
            <w:vAlign w:val="bottom"/>
            <w:vMerge w:val="restart"/>
          </w:tcPr>
          <w:p>
            <w:pPr>
              <w:ind w:left="260"/>
              <w:spacing w:after="0"/>
              <w:rPr>
                <w:sz w:val="20"/>
                <w:szCs w:val="20"/>
                <w:color w:val="auto"/>
              </w:rPr>
            </w:pPr>
            <w:r>
              <w:rPr>
                <w:rFonts w:ascii="Arial" w:cs="Arial" w:eastAsia="Arial" w:hAnsi="Arial"/>
                <w:sz w:val="17"/>
                <w:szCs w:val="17"/>
                <w:color w:val="auto"/>
              </w:rPr>
              <w:t>Total stockholders’ equity (deficit)</w:t>
            </w:r>
          </w:p>
        </w:tc>
        <w:tc>
          <w:tcPr>
            <w:tcW w:w="6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60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95,120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tcPr>
          <w:p>
            <w:pPr>
              <w:jc w:val="right"/>
              <w:ind w:right="215"/>
              <w:spacing w:after="0"/>
              <w:rPr>
                <w:sz w:val="20"/>
                <w:szCs w:val="20"/>
                <w:color w:val="auto"/>
              </w:rPr>
            </w:pPr>
            <w:r>
              <w:rPr>
                <w:rFonts w:ascii="Arial" w:cs="Arial" w:eastAsia="Arial" w:hAnsi="Arial"/>
                <w:sz w:val="17"/>
                <w:szCs w:val="17"/>
                <w:color w:val="auto"/>
              </w:rPr>
              <w:t>(57,830)</w:t>
            </w:r>
          </w:p>
        </w:tc>
        <w:tc>
          <w:tcPr>
            <w:tcW w:w="0" w:type="dxa"/>
            <w:vAlign w:val="bottom"/>
          </w:tcPr>
          <w:p>
            <w:pPr>
              <w:spacing w:after="0"/>
              <w:rPr>
                <w:sz w:val="1"/>
                <w:szCs w:val="1"/>
                <w:color w:val="auto"/>
              </w:rPr>
            </w:pPr>
          </w:p>
        </w:tc>
      </w:tr>
      <w:tr>
        <w:trPr>
          <w:trHeight w:val="31"/>
        </w:trPr>
        <w:tc>
          <w:tcPr>
            <w:tcW w:w="6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60"/>
              <w:spacing w:after="0"/>
              <w:rPr>
                <w:sz w:val="20"/>
                <w:szCs w:val="20"/>
                <w:color w:val="auto"/>
              </w:rPr>
            </w:pPr>
            <w:r>
              <w:rPr>
                <w:rFonts w:ascii="Arial" w:cs="Arial" w:eastAsia="Arial" w:hAnsi="Arial"/>
                <w:sz w:val="17"/>
                <w:szCs w:val="17"/>
                <w:color w:val="auto"/>
              </w:rPr>
              <w:t>Total liabilities, convertible preferred stock and stockholders’ equity (deficit)</w:t>
            </w:r>
          </w:p>
        </w:tc>
        <w:tc>
          <w:tcPr>
            <w:tcW w:w="680" w:type="dxa"/>
            <w:vAlign w:val="bottom"/>
          </w:tcPr>
          <w:p>
            <w:pPr>
              <w:jc w:val="right"/>
              <w:ind w:right="475"/>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275"/>
              <w:spacing w:after="0"/>
              <w:rPr>
                <w:sz w:val="20"/>
                <w:szCs w:val="20"/>
                <w:color w:val="auto"/>
              </w:rPr>
            </w:pPr>
            <w:r>
              <w:rPr>
                <w:rFonts w:ascii="Arial" w:cs="Arial" w:eastAsia="Arial" w:hAnsi="Arial"/>
                <w:sz w:val="17"/>
                <w:szCs w:val="17"/>
                <w:color w:val="auto"/>
              </w:rPr>
              <w:t>137,591</w:t>
            </w:r>
          </w:p>
        </w:tc>
        <w:tc>
          <w:tcPr>
            <w:tcW w:w="100" w:type="dxa"/>
            <w:vAlign w:val="bottom"/>
          </w:tcPr>
          <w:p>
            <w:pPr>
              <w:spacing w:after="0"/>
              <w:rPr>
                <w:sz w:val="19"/>
                <w:szCs w:val="19"/>
                <w:color w:val="auto"/>
              </w:rPr>
            </w:pPr>
          </w:p>
        </w:tc>
        <w:tc>
          <w:tcPr>
            <w:tcW w:w="72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75"/>
              <w:spacing w:after="0"/>
              <w:rPr>
                <w:sz w:val="20"/>
                <w:szCs w:val="20"/>
                <w:color w:val="auto"/>
              </w:rPr>
            </w:pPr>
            <w:r>
              <w:rPr>
                <w:rFonts w:ascii="Arial" w:cs="Arial" w:eastAsia="Arial" w:hAnsi="Arial"/>
                <w:sz w:val="17"/>
                <w:szCs w:val="17"/>
                <w:color w:val="auto"/>
              </w:rPr>
              <w:t>44,998</w:t>
            </w:r>
          </w:p>
        </w:tc>
        <w:tc>
          <w:tcPr>
            <w:tcW w:w="0" w:type="dxa"/>
            <w:vAlign w:val="bottom"/>
          </w:tcPr>
          <w:p>
            <w:pPr>
              <w:spacing w:after="0"/>
              <w:rPr>
                <w:sz w:val="1"/>
                <w:szCs w:val="1"/>
                <w:color w:val="auto"/>
              </w:rPr>
            </w:pPr>
          </w:p>
        </w:tc>
      </w:tr>
      <w:tr>
        <w:trPr>
          <w:trHeight w:val="31"/>
        </w:trPr>
        <w:tc>
          <w:tcPr>
            <w:tcW w:w="66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ectPr>
          <w:pgSz w:w="11900" w:h="16838" w:orient="portrait"/>
          <w:cols w:equalWidth="0" w:num="1">
            <w:col w:w="11420"/>
          </w:cols>
          <w:pgMar w:left="240" w:top="364"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XERIS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Operations and Comprehensive Loss</w:t>
      </w:r>
    </w:p>
    <w:p>
      <w:pPr>
        <w:jc w:val="center"/>
        <w:spacing w:after="0"/>
        <w:rPr>
          <w:sz w:val="20"/>
          <w:szCs w:val="20"/>
          <w:color w:val="auto"/>
        </w:rPr>
      </w:pPr>
      <w:r>
        <w:rPr>
          <w:rFonts w:ascii="Arial" w:cs="Arial" w:eastAsia="Arial" w:hAnsi="Arial"/>
          <w:sz w:val="18"/>
          <w:szCs w:val="18"/>
          <w:color w:val="auto"/>
        </w:rPr>
        <w:t>(in thousands, except share and per share data; unaudited)</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7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Grant income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3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13,588</w:t>
            </w:r>
          </w:p>
        </w:tc>
        <w:tc>
          <w:tcPr>
            <w:tcW w:w="0" w:type="dxa"/>
            <w:vAlign w:val="bottom"/>
          </w:tcPr>
          <w:p>
            <w:pPr>
              <w:spacing w:after="0"/>
              <w:rPr>
                <w:sz w:val="1"/>
                <w:szCs w:val="1"/>
                <w:color w:val="auto"/>
              </w:rPr>
            </w:pPr>
          </w:p>
        </w:tc>
      </w:tr>
      <w:tr>
        <w:trPr>
          <w:trHeight w:val="270"/>
        </w:trPr>
        <w:tc>
          <w:tcPr>
            <w:tcW w:w="51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560"/>
              <w:spacing w:after="0"/>
              <w:rPr>
                <w:sz w:val="20"/>
                <w:szCs w:val="20"/>
                <w:color w:val="auto"/>
              </w:rPr>
            </w:pPr>
            <w:r>
              <w:rPr>
                <w:rFonts w:ascii="Arial" w:cs="Arial" w:eastAsia="Arial" w:hAnsi="Arial"/>
                <w:sz w:val="18"/>
                <w:szCs w:val="18"/>
                <w:color w:val="auto"/>
              </w:rPr>
              <w:t>Expense from operations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15,525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18,505</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(14,943)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(17,420)</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0"/>
        </w:trPr>
        <w:tc>
          <w:tcPr>
            <w:tcW w:w="51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120" w:type="dxa"/>
            <w:vAlign w:val="bottom"/>
          </w:tcPr>
          <w:p>
            <w:pPr>
              <w:ind w:left="340"/>
              <w:spacing w:after="0"/>
              <w:rPr>
                <w:sz w:val="20"/>
                <w:szCs w:val="20"/>
                <w:color w:val="auto"/>
              </w:rPr>
            </w:pPr>
            <w:r>
              <w:rPr>
                <w:rFonts w:ascii="Arial" w:cs="Arial" w:eastAsia="Arial" w:hAnsi="Arial"/>
                <w:sz w:val="18"/>
                <w:szCs w:val="18"/>
                <w:color w:val="auto"/>
              </w:rPr>
              <w:t>Change in fair value of warrants</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5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56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(14,767)</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(39,661)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340"/>
              <w:spacing w:after="0"/>
              <w:rPr>
                <w:sz w:val="20"/>
                <w:szCs w:val="20"/>
                <w:color w:val="auto"/>
              </w:rPr>
            </w:pPr>
            <w:r>
              <w:rPr>
                <w:rFonts w:ascii="Arial" w:cs="Arial" w:eastAsia="Arial" w:hAnsi="Arial"/>
                <w:sz w:val="18"/>
                <w:szCs w:val="18"/>
                <w:color w:val="auto"/>
              </w:rPr>
              <w:t>Unrealized losses on short-term investments</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560"/>
              <w:spacing w:after="0"/>
              <w:rPr>
                <w:sz w:val="20"/>
                <w:szCs w:val="20"/>
                <w:color w:val="auto"/>
              </w:rPr>
            </w:pPr>
            <w:r>
              <w:rPr>
                <w:rFonts w:ascii="Arial" w:cs="Arial" w:eastAsia="Arial" w:hAnsi="Arial"/>
                <w:sz w:val="18"/>
                <w:szCs w:val="18"/>
                <w:color w:val="auto"/>
              </w:rPr>
              <w:t>Comprehensive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(14,825)</w:t>
            </w:r>
          </w:p>
        </w:tc>
        <w:tc>
          <w:tcPr>
            <w:tcW w:w="12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(39,719)</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4"/>
                <w:szCs w:val="24"/>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color w:val="auto"/>
              </w:rPr>
              <w:t>20,714,475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2,024,355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9,104,491</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2,016,112</w:t>
            </w:r>
          </w:p>
        </w:tc>
        <w:tc>
          <w:tcPr>
            <w:tcW w:w="0" w:type="dxa"/>
            <w:vAlign w:val="bottom"/>
          </w:tcPr>
          <w:p>
            <w:pPr>
              <w:spacing w:after="0"/>
              <w:rPr>
                <w:sz w:val="1"/>
                <w:szCs w:val="1"/>
                <w:color w:val="auto"/>
              </w:rPr>
            </w:pPr>
          </w:p>
        </w:tc>
      </w:tr>
      <w:tr>
        <w:trPr>
          <w:trHeight w:val="237"/>
        </w:trPr>
        <w:tc>
          <w:tcPr>
            <w:tcW w:w="51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t>XERIS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Statements of Cash Flows</w:t>
      </w:r>
    </w:p>
    <w:p>
      <w:pPr>
        <w:jc w:val="center"/>
        <w:spacing w:after="0"/>
        <w:rPr>
          <w:sz w:val="20"/>
          <w:szCs w:val="20"/>
          <w:color w:val="auto"/>
        </w:rPr>
      </w:pPr>
      <w:r>
        <w:rPr>
          <w:rFonts w:ascii="Arial" w:cs="Arial" w:eastAsia="Arial" w:hAnsi="Arial"/>
          <w:sz w:val="18"/>
          <w:szCs w:val="18"/>
          <w:color w:val="auto"/>
        </w:rPr>
        <w:t>(in thousands; unaudited)</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5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(39,661)</w:t>
            </w:r>
          </w:p>
        </w:tc>
        <w:tc>
          <w:tcPr>
            <w:tcW w:w="12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8540" w:type="dxa"/>
            <w:vAlign w:val="bottom"/>
          </w:tcPr>
          <w:p>
            <w:pPr>
              <w:ind w:left="5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0"/>
        </w:trPr>
        <w:tc>
          <w:tcPr>
            <w:tcW w:w="8540" w:type="dxa"/>
            <w:vAlign w:val="bottom"/>
          </w:tcPr>
          <w:p>
            <w:pPr>
              <w:ind w:left="540"/>
              <w:spacing w:after="0"/>
              <w:rPr>
                <w:sz w:val="20"/>
                <w:szCs w:val="20"/>
                <w:color w:val="auto"/>
              </w:rPr>
            </w:pPr>
            <w:r>
              <w:rPr>
                <w:rFonts w:ascii="Arial" w:cs="Arial" w:eastAsia="Arial" w:hAnsi="Arial"/>
                <w:sz w:val="18"/>
                <w:szCs w:val="18"/>
                <w:color w:val="auto"/>
              </w:rPr>
              <w:t>Change in fair value of warrants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8540" w:type="dxa"/>
            <w:vAlign w:val="bottom"/>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Deferred grant award</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8540" w:type="dxa"/>
            <w:vAlign w:val="bottom"/>
          </w:tcPr>
          <w:p>
            <w:pPr>
              <w:ind w:left="78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(37,944)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(15,563)</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5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(55,278)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(56,538)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540" w:type="dxa"/>
            <w:vAlign w:val="bottom"/>
          </w:tcPr>
          <w:p>
            <w:pPr>
              <w:ind w:left="220"/>
              <w:spacing w:after="0"/>
              <w:rPr>
                <w:sz w:val="20"/>
                <w:szCs w:val="20"/>
                <w:color w:val="auto"/>
              </w:rPr>
            </w:pPr>
            <w:r>
              <w:rPr>
                <w:rFonts w:ascii="Arial" w:cs="Arial" w:eastAsia="Arial" w:hAnsi="Arial"/>
                <w:sz w:val="18"/>
                <w:szCs w:val="18"/>
                <w:color w:val="auto"/>
              </w:rPr>
              <w:t>Proceeds from Initial Public Offering</w:t>
            </w: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98,325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Payments for Initial Public Offering costs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Proceeds from sale of Series C Preferred Stock</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4,438</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Payments of Series C Preferred Stock offering costs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Payments of debt issuance costs</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40" w:type="dxa"/>
            <w:vAlign w:val="bottom"/>
          </w:tcPr>
          <w:p>
            <w:pPr>
              <w:ind w:left="220"/>
              <w:spacing w:after="0"/>
              <w:rPr>
                <w:sz w:val="20"/>
                <w:szCs w:val="20"/>
                <w:color w:val="auto"/>
              </w:rPr>
            </w:pPr>
            <w:r>
              <w:rPr>
                <w:rFonts w:ascii="Arial" w:cs="Arial" w:eastAsia="Arial" w:hAnsi="Arial"/>
                <w:sz w:val="18"/>
                <w:szCs w:val="18"/>
                <w:color w:val="auto"/>
              </w:rPr>
              <w:t>Proceeds from exercise of stock awards</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128,182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29,672</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42,045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32,269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75,745</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45,914</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Supplemental schedule of cash flow information: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54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40" w:type="dxa"/>
            <w:vAlign w:val="bottom"/>
            <w:vMerge w:val="restart"/>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520"/>
              <w:spacing w:after="0"/>
              <w:rPr>
                <w:sz w:val="20"/>
                <w:szCs w:val="20"/>
                <w:color w:val="auto"/>
              </w:rPr>
            </w:pPr>
            <w:r>
              <w:rPr>
                <w:rFonts w:ascii="Arial" w:cs="Arial" w:eastAsia="Arial" w:hAnsi="Arial"/>
                <w:sz w:val="18"/>
                <w:szCs w:val="18"/>
                <w:color w:val="auto"/>
              </w:rPr>
              <w:t>Allocation of debt costs to warrants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520"/>
              <w:spacing w:after="0"/>
              <w:rPr>
                <w:sz w:val="20"/>
                <w:szCs w:val="20"/>
                <w:color w:val="auto"/>
              </w:rPr>
            </w:pPr>
            <w:r>
              <w:rPr>
                <w:rFonts w:ascii="Arial" w:cs="Arial" w:eastAsia="Arial" w:hAnsi="Arial"/>
                <w:sz w:val="18"/>
                <w:szCs w:val="18"/>
                <w:color w:val="auto"/>
              </w:rPr>
              <w:t>Accrued debt issuance costs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2,325</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vMerge w:val="restart"/>
          </w:tcPr>
          <w:p>
            <w:pPr>
              <w:ind w:left="540"/>
              <w:spacing w:after="0"/>
              <w:rPr>
                <w:sz w:val="20"/>
                <w:szCs w:val="20"/>
                <w:color w:val="auto"/>
              </w:rPr>
            </w:pPr>
            <w:r>
              <w:rPr>
                <w:rFonts w:ascii="Arial" w:cs="Arial" w:eastAsia="Arial" w:hAnsi="Arial"/>
                <w:sz w:val="18"/>
                <w:szCs w:val="18"/>
                <w:color w:val="auto"/>
              </w:rPr>
              <w:t>Vesting of early exercised awards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financial statements.</w:t>
      </w:r>
    </w:p>
    <w:p>
      <w:pPr>
        <w:sectPr>
          <w:pgSz w:w="11900" w:h="16838" w:orient="portrait"/>
          <w:cols w:equalWidth="0" w:num="1">
            <w:col w:w="11420"/>
          </w:cols>
          <w:pgMar w:left="240" w:top="36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9" w:right="2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Nature of the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Xeris Pharmaceuticals, Inc. ("Xeris" or the "Company") is a specialty pharmaceutical company that was incorporated in Delaware in 2005. Xeris is dedicated to the development of ready-to-use injectable and infusible drug formulations that address important unmet medical needs, are easier to use by patients, caregivers and health practitioners, and reduce costs for payors and the healthcare system.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prepared in accordance with accounting principles generally accepted in the United States of America (“GAAP”).</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Since its inception, the Company has devoted substantially all of its efforts to research and development, regulatory and technical activities. The Company has financed its operations through the issuance of common stock in its June 2018 initial public offering ("IPO"), issuance of convertible preferred stock and other equity instruments, issuance of debt and grant funding from the National Institutes of Health ("NIH") and other philanthropic organizations.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not generated any revenue from product sales. The Company has incurred operating losses since inception and has an accumulated deficit of $100.2 million as of September 30, 2018. The Company expects to continue to incur net losses for the next several years. Based on the Company’s current operating plans and existing working capital at September 30, 2018, cash resources are sufficient to sustain operations and capital expenditure requirements for at least the next 12 months. The Company is subject to a number of risks similar to other specialty pharmaceutical companies, including, but not limited to, successful development and commercialization of its drug candidates, the development of new technological innovations by its competitors, protection of intellectual property and market acceptance of the Company’s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interim financial statements have been prepared in conformity with GAAP. Any reference in these notes to applicable guidance is meant to refer to GAAP as found in the Accounting Standards Codification (“ASC”) and Accounting Standards Updates (“ASU”) of the Financial Accounting Standards Board (“FASB”).</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unaudited interim financial statements include all normal and recurring adjustments (which consist primarily of accruals and estimates that impact the financial statements) considered necessary to present fairly the Company’s financial position as of September 30, 2018 and its results of operations and cash flows for the nine months ended September 30, 2018 and 2017. Operating results for the three and nine month periods ended September 30, 2018 are not necessarily indicative of the results that may be expected for the year ending December 31, 2018. The unaudited interim financial statements, presented herein, do not contain the required disclosures under GAAP for annual financial statements. The accompanying unaudited interim financial statements should be read in conjunction with the audited financial statements and the related notes thereto for the year ended December 31, 2017 included in the prospectus (Registration No. 333-225191) filed pursuant to Rule 424(b) on June 21, 2018 with the U.S.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contingent liabilities and expenses included in the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the Tax Cuts and Jobs Act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Tax Cuts and Jobs Act (H.R. 1) (the “Tax Act”) was signed into law. The Tax Act contains significant changes to corporate taxation, including (i) the reduction of the corporate income tax rate to 21%, (ii) the acceleration of expensing for certain business assets, (iii) the one-time transition tax related to the transition of U.S. international tax from a worldwide tax system to a territorial tax system, (iv) the repeal of the domestic production deduction, (v) additional limitations on the deductibility of interest expense, and</w:t>
      </w:r>
    </w:p>
    <w:p>
      <w:pPr>
        <w:sectPr>
          <w:pgSz w:w="11900" w:h="16838" w:orient="portrait"/>
          <w:cols w:equalWidth="0" w:num="1">
            <w:col w:w="11420"/>
          </w:cols>
          <w:pgMar w:left="240" w:top="378"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78" w:right="2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8"/>
        <w:spacing w:after="0" w:line="290" w:lineRule="auto"/>
        <w:tabs>
          <w:tab w:leader="none" w:pos="305"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expanded limitations on executive compensation. The key impacts of the Tax Act on the Company’s financial statements for the year ended December 31, 2017 were the re-measurement of deferred tax balances to the new corporate tax rate. While the Company has not yet completed the assessment of the effects of the Tax Act, the Company was able to determine reasonable estimates for the impact of the key items specified above and thus it reported provisional amounts for these items. In accordance with Staff Accounting Bulletin No. 118 (“SAB 118”), the Company provides additional disclosures related to these provisional amounts. In order to calculate the effects of the new corporate tax rate on its deferred tax balances,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required the re-measurement of the Company’s deferred tax balances as of the enactment date of the Tax Act, based on the rates at which the balances were expected to reverse in the future. The provisional amount determined, and recorded as of December 31, 2017, for the re-measurement of its deferred tax balances resulted in a net reduction in deferred tax assets of $7,478,000 and a corresponding reduction in the valuation allowance of $7,478,000.</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aforementioned provisional amounts related to the deferred tax balances are based on information available at this time and may change due to a variety of factors, including, among others, (i) anticipated guidance from the U.S. Department of Treasury about implementing the Tax Act, (ii) potential additional guidance from the U.S. Securities and Exchange Commission or the FASB related to the Tax Act and (iii) management’s further assessment of the Tax Act and related regulatory guidance. The Company is not complete in its assessment of the impact of the Tax Act on its business and financial statements. The effective date of most of the provisions of the Tax Act applies to the Company’s tax year beginning January 1, 2018. The Company will continue the assessment of the impact of the Tax Act on its business and financial statements throughout the one-year measurement period as provided by SAB 118.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debt is accounted for at amortized cost. Debt issuance costs incurred in connection with financing arrangements are amortized to interest expense over the life of the respective financing arrangement using the effective interest method. Debt issuance costs, net of related amortization, are deducted from the carrying value of the related debt.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are recorded in the additional paid in capital line on the balance sheet against the gross proceeds of the equity financings. As of September 30, 2018, the Company incurred $9.4 million in costs associated with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cash and cash equivalents, accounts receivable, prepaid expenses and other current assets, and accounts payable, are shown at cost, which approximates fair value due to the short-term nature of these instruments. The debt outstanding under the Loan and Security Agreement approximates fair value due to the variable interest rate on the debt. Items measured at fair value on a recurring basis include the Company’s short-term investments and warrants.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and diluted net loss per common share is determined by dividing net loss applicable to common stockholders by the weighted average common shares outstanding during the period. For all periods presented, the outstanding shares of the preferred stock, warrants, and stock awards have been excluded from the calculation because their effects would be anti-dilutive. Therefore, the weighted average common shares outstanding used to calculate both basic and diluted loss per common share are the same.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potentially dilutive securities (shown below in common stock equivalent shares) were excluded from the computation of diluted weighted average common shares outstanding due to their anti-dilutive effect:</w:t>
      </w:r>
    </w:p>
    <w:p>
      <w:pPr>
        <w:spacing w:after="0" w:line="112"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34290</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940" w:type="dxa"/>
            <w:vAlign w:val="bottom"/>
            <w:vMerge w:val="restart"/>
          </w:tcPr>
          <w:p>
            <w:pPr>
              <w:spacing w:after="0"/>
              <w:rPr>
                <w:sz w:val="20"/>
                <w:szCs w:val="20"/>
                <w:color w:val="auto"/>
              </w:rPr>
            </w:pPr>
            <w:r>
              <w:rPr>
                <w:rFonts w:ascii="Arial" w:cs="Arial" w:eastAsia="Arial" w:hAnsi="Arial"/>
                <w:sz w:val="18"/>
                <w:szCs w:val="18"/>
                <w:color w:val="auto"/>
              </w:rPr>
              <w:t>Convertible preferred stock</w:t>
            </w: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4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10,954,012</w:t>
            </w:r>
          </w:p>
        </w:tc>
        <w:tc>
          <w:tcPr>
            <w:tcW w:w="0" w:type="dxa"/>
            <w:vAlign w:val="bottom"/>
          </w:tcPr>
          <w:p>
            <w:pPr>
              <w:spacing w:after="0"/>
              <w:rPr>
                <w:sz w:val="1"/>
                <w:szCs w:val="1"/>
                <w:color w:val="auto"/>
              </w:rPr>
            </w:pPr>
          </w:p>
        </w:tc>
      </w:tr>
      <w:tr>
        <w:trPr>
          <w:trHeight w:val="284"/>
        </w:trPr>
        <w:tc>
          <w:tcPr>
            <w:tcW w:w="8260" w:type="dxa"/>
            <w:vAlign w:val="bottom"/>
            <w:gridSpan w:val="2"/>
          </w:tcPr>
          <w:p>
            <w:pPr>
              <w:spacing w:after="0"/>
              <w:rPr>
                <w:sz w:val="20"/>
                <w:szCs w:val="20"/>
                <w:color w:val="auto"/>
              </w:rPr>
            </w:pPr>
            <w:r>
              <w:rPr>
                <w:rFonts w:ascii="Arial" w:cs="Arial" w:eastAsia="Arial" w:hAnsi="Arial"/>
                <w:sz w:val="18"/>
                <w:szCs w:val="18"/>
                <w:color w:val="auto"/>
              </w:rPr>
              <w:t>Vested and unvested stock options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2,753,208</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1,902,997</w:t>
            </w:r>
          </w:p>
        </w:tc>
        <w:tc>
          <w:tcPr>
            <w:tcW w:w="0" w:type="dxa"/>
            <w:vAlign w:val="bottom"/>
          </w:tcPr>
          <w:p>
            <w:pPr>
              <w:spacing w:after="0"/>
              <w:rPr>
                <w:sz w:val="1"/>
                <w:szCs w:val="1"/>
                <w:color w:val="auto"/>
              </w:rPr>
            </w:pPr>
          </w:p>
        </w:tc>
      </w:tr>
      <w:tr>
        <w:trPr>
          <w:trHeight w:val="284"/>
        </w:trPr>
        <w:tc>
          <w:tcPr>
            <w:tcW w:w="82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113,943</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2016, the Financial Accounting Standards Board (FASB) issued ASU 2016-09, </w:t>
      </w:r>
      <w:r>
        <w:rPr>
          <w:rFonts w:ascii="Arial" w:cs="Arial" w:eastAsia="Arial" w:hAnsi="Arial"/>
          <w:sz w:val="16"/>
          <w:szCs w:val="16"/>
          <w:i w:val="1"/>
          <w:iCs w:val="1"/>
          <w:color w:val="auto"/>
        </w:rPr>
        <w:t>Compensation—Stock Compensation (Topic 718):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 Share Based Payment Accounting </w:t>
      </w:r>
      <w:r>
        <w:rPr>
          <w:rFonts w:ascii="Arial" w:cs="Arial" w:eastAsia="Arial" w:hAnsi="Arial"/>
          <w:sz w:val="16"/>
          <w:szCs w:val="16"/>
          <w:color w:val="auto"/>
        </w:rPr>
        <w:t>(“ASU 2016-09”), as part of the FASB simplification initiative. The new standard provides for changes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stock compensation including 1) excess tax benefits and tax deficiencies related to share-based payment awards being recognized as income tax expense in the reporting period in which they occur; 2) excess tax benefits being classified as an operating activity in the statement of cash flow; 3) the option to elect to estimate forfeitures or account for them when they occur; and 4) increased tax withholding requirements threshold to qualify for equity classification. ASU 2016-09 is effective for public companies with annual periods and interim periods beginning after December 15, 2016. Early adoption is permitted. The Company adopted this standard on January 1, 2018, and it did not have an impact on the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Stock Split and Initial Public Offering</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8, 2018, the Company effectuated a 1-for-1.78112 reverse stock split of its outstanding common stock, which was approved by the Company’s board of directors on May 22, 2018 and by the Company’s stockholders on June 8, 2018. The reverse stock split resulted in an adjustment to the preferred stock conversion prices to reflect a proportional decrease in the number of shares of common stock to be issued upon conversion. The accompanying financial statements and notes to the financial statements give retroactive effect to the reverse stock split for all periods presented. The shares of common stock retained a par value of $0.0001 per share. Accordingly, the stockholders’ deficit reflects the reverse stock split by reclassifying from common stock to additional paid in capital an amount equal to the par value of the decreased shares resulting from the reverse stock split.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25, 2018, the Company closed the IPO of its common stock pursuant to a registration statement on Form S-1, as amended. The Company sold an aggregate of 6,555,000 shares of common stock under the registration statement at a public offering price of $15.00 per share, including 855,000 shares of common stock pursuant to the exercise of the underwriters’ option to purchase additional shares. Net proceeds from the offering were approximately $89.0 million, after deducting underwriting discounts and commissions, as well as other offering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closing the IPO, all outstanding shares of the Company's Series A, B and C convertible preferred stock were converted into 11,837,073 shares of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Note 4. Accrued Expenses</w:t>
            </w:r>
          </w:p>
        </w:tc>
        <w:tc>
          <w:tcPr>
            <w:tcW w:w="2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Accrued expenses consist of the following:</w:t>
            </w: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3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400" w:type="dxa"/>
            <w:vAlign w:val="bottom"/>
          </w:tcPr>
          <w:p>
            <w:pPr>
              <w:ind w:left="40"/>
              <w:spacing w:after="0"/>
              <w:rPr>
                <w:sz w:val="20"/>
                <w:szCs w:val="20"/>
                <w:color w:val="auto"/>
              </w:rPr>
            </w:pPr>
            <w:r>
              <w:rPr>
                <w:rFonts w:ascii="Arial" w:cs="Arial" w:eastAsia="Arial" w:hAnsi="Arial"/>
                <w:sz w:val="18"/>
                <w:szCs w:val="18"/>
                <w:color w:val="auto"/>
              </w:rPr>
              <w:t>Accrued research costs</w:t>
            </w:r>
          </w:p>
        </w:tc>
        <w:tc>
          <w:tcPr>
            <w:tcW w:w="2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84"/>
        </w:trPr>
        <w:tc>
          <w:tcPr>
            <w:tcW w:w="4400" w:type="dxa"/>
            <w:vAlign w:val="bottom"/>
          </w:tcPr>
          <w:p>
            <w:pPr>
              <w:ind w:left="40"/>
              <w:spacing w:after="0"/>
              <w:rPr>
                <w:sz w:val="20"/>
                <w:szCs w:val="20"/>
                <w:color w:val="auto"/>
              </w:rPr>
            </w:pPr>
            <w:r>
              <w:rPr>
                <w:rFonts w:ascii="Arial" w:cs="Arial" w:eastAsia="Arial" w:hAnsi="Arial"/>
                <w:sz w:val="18"/>
                <w:szCs w:val="18"/>
                <w:color w:val="auto"/>
              </w:rPr>
              <w:t>Accrued employee costs</w:t>
            </w: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84"/>
        </w:trPr>
        <w:tc>
          <w:tcPr>
            <w:tcW w:w="4400" w:type="dxa"/>
            <w:vAlign w:val="bottom"/>
          </w:tcPr>
          <w:p>
            <w:pPr>
              <w:ind w:left="40"/>
              <w:spacing w:after="0"/>
              <w:rPr>
                <w:sz w:val="20"/>
                <w:szCs w:val="20"/>
                <w:color w:val="auto"/>
              </w:rPr>
            </w:pPr>
            <w:r>
              <w:rPr>
                <w:rFonts w:ascii="Arial" w:cs="Arial" w:eastAsia="Arial" w:hAnsi="Arial"/>
                <w:sz w:val="18"/>
                <w:szCs w:val="18"/>
                <w:color w:val="auto"/>
              </w:rPr>
              <w:t>Accrued other costs</w:t>
            </w:r>
          </w:p>
        </w:tc>
        <w:tc>
          <w:tcPr>
            <w:tcW w:w="2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24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6,260</w:t>
            </w:r>
          </w:p>
        </w:tc>
        <w:tc>
          <w:tcPr>
            <w:tcW w:w="10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41"/>
        </w:trPr>
        <w:tc>
          <w:tcPr>
            <w:tcW w:w="4400" w:type="dxa"/>
            <w:vAlign w:val="bottom"/>
          </w:tcPr>
          <w:p>
            <w:pPr>
              <w:spacing w:after="0"/>
              <w:rPr>
                <w:sz w:val="3"/>
                <w:szCs w:val="3"/>
                <w:color w:val="auto"/>
              </w:rPr>
            </w:pPr>
          </w:p>
        </w:tc>
        <w:tc>
          <w:tcPr>
            <w:tcW w:w="2400" w:type="dxa"/>
            <w:vAlign w:val="bottom"/>
            <w:vMerge w:val="restart"/>
          </w:tcPr>
          <w:p>
            <w:pPr>
              <w:jc w:val="right"/>
              <w:ind w:right="950"/>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4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Loan Facility</w:t>
      </w:r>
    </w:p>
    <w:p>
      <w:pPr>
        <w:spacing w:after="0" w:line="2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February 2018, the Company entered into the Loan and Security Agreement that provides a senior secured loan facility of up to an aggregate principal amount of $45.0 million. The first tranche was $20.0 million and was drawn down in February 2018 ("Term A Loan"). The second tranche was $15.0 million and was drawn down in September 2018 ("Term B Loan"). The third tranche is $10.0 million and is available beginning upon approval of the Company’s Glucagon Rescue Pen New Drug Application ("NDA") by the U.S. Food &amp; Drug Administration (”FDA”) until the earlier of September 30, 2019 or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following NDA approval by the FDA.</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under the Loan and Security Agreement is the thirty-day U.S. LIBOR rate plus 6.75%, which was approximately 8.86% as of September 30, 2018. Payments on the Loan and Security Agreement are interest only for the first 24 months, which can be extended by an additional twelve months if the third tranche is drawn. The total term of the loan is fifty-nine months, and the principal payments will begin in either 36 months or 24 months, contingent on the third tranche being drawn.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Loan and Security Agreement, the Company provided a first priority security interest in all existing and future-acquired assets, excluding intellectual property and certain other assets, owned by the Company. The Loan and Security Agreement contains a negative pledge on intellectual property owned by the Company. The Company also issued warrants to the Lenders to purchase common stock, which is further discussed in Note 7, "Warrants," of the notes to unaudited condensed financial statements.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Loan and Security Agreement allows the Company to voluntarily prepay the outstanding amounts thereunder, but not less than $2.0 million of the outstanding principal at any time. Prior to April 1, 2020, the Company is subject to a prepayment penalty equal to 1.50% of the principal amount being prepaid. In the event the Company draws on the third tranche, the period subject to 1.50% prepayment is extended to April 1, 2021. No prepayment fee exists for prepayments made after April 1, 2020, or April 1, 2021 in the event the third tranche is issued. A final payment fee of 6.5% multiplied by the original principal amount of each tranche drawn is due upon the earlier to occur of the maturity date of the Loan and Security Agreement, the acceleration of the Loan and Security Agreement or prepayment of such borrowings. The Loan and Security Agreement includes a non-utilization fee of 2.0% multiplied by the principal amount of tranche three payable to Lenders in October 2019, if the Company elects not to draw the third tranche.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Loan and Security Agreement also contains customary indemnification obligations and customary events of default, including, among other things, failure to fulfill certain obligations under the Loan and Security Agreement and the occurrence of a material adverse change in the Company's business, operations or condition, a material impairment of the prospect of repayment of any portion of the loan, or a material impairment in the perfection or priority of the Lenders’ lien in the collateral or in the value of such collateral. In the event of default under the Loan and Security Agreement, the Company would be required to pay interest on principal and all other due and unpaid obligations at the current rate in effect plus 5%. All such interest would be payable on demand and in cash. Further, the Lenders would be entitled to exercise their remedies thereunder, including the right to accelerate the debt, upon which the Company may be required to repay all amounts then outstanding under the Loan and Security Agreement.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Loan and Security Agreement includes certain restrictions on, among other things, the Company’s ability to incur additional indebtedness, change the name or location of the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components of debt are as follows:</w:t>
            </w: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4"/>
                <w:szCs w:val="24"/>
                <w:color w:val="auto"/>
              </w:rPr>
            </w:pPr>
          </w:p>
        </w:tc>
        <w:tc>
          <w:tcPr>
            <w:tcW w:w="1900" w:type="dxa"/>
            <w:vAlign w:val="bottom"/>
          </w:tcPr>
          <w:p>
            <w:pPr>
              <w:ind w:left="14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900" w:type="dxa"/>
            <w:vAlign w:val="bottom"/>
          </w:tcPr>
          <w:p>
            <w:pPr>
              <w:ind w:left="40"/>
              <w:spacing w:after="0"/>
              <w:rPr>
                <w:sz w:val="20"/>
                <w:szCs w:val="20"/>
                <w:color w:val="auto"/>
              </w:rPr>
            </w:pPr>
            <w:r>
              <w:rPr>
                <w:rFonts w:ascii="Arial" w:cs="Arial" w:eastAsia="Arial" w:hAnsi="Arial"/>
                <w:sz w:val="18"/>
                <w:szCs w:val="18"/>
                <w:color w:val="auto"/>
              </w:rPr>
              <w:t>Term A Loan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900" w:type="dxa"/>
            <w:vAlign w:val="bottom"/>
          </w:tcPr>
          <w:p>
            <w:pPr>
              <w:ind w:left="40"/>
              <w:spacing w:after="0"/>
              <w:rPr>
                <w:sz w:val="20"/>
                <w:szCs w:val="20"/>
                <w:color w:val="auto"/>
              </w:rPr>
            </w:pPr>
            <w:r>
              <w:rPr>
                <w:rFonts w:ascii="Arial" w:cs="Arial" w:eastAsia="Arial" w:hAnsi="Arial"/>
                <w:sz w:val="18"/>
                <w:szCs w:val="18"/>
                <w:color w:val="auto"/>
              </w:rPr>
              <w:t>Term B Loan</w:t>
            </w:r>
          </w:p>
        </w:tc>
        <w:tc>
          <w:tcPr>
            <w:tcW w:w="32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900" w:type="dxa"/>
            <w:vAlign w:val="bottom"/>
          </w:tcPr>
          <w:p>
            <w:pPr>
              <w:ind w:left="40"/>
              <w:spacing w:after="0"/>
              <w:rPr>
                <w:sz w:val="20"/>
                <w:szCs w:val="20"/>
                <w:color w:val="auto"/>
              </w:rPr>
            </w:pPr>
            <w:r>
              <w:rPr>
                <w:rFonts w:ascii="Arial" w:cs="Arial" w:eastAsia="Arial" w:hAnsi="Arial"/>
                <w:sz w:val="18"/>
                <w:szCs w:val="18"/>
                <w:color w:val="auto"/>
              </w:rPr>
              <w:t>Less unamortized deferred cost</w:t>
            </w:r>
          </w:p>
        </w:tc>
        <w:tc>
          <w:tcPr>
            <w:tcW w:w="3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6900" w:type="dxa"/>
            <w:vAlign w:val="bottom"/>
            <w:vMerge w:val="restart"/>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31,642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69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7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78" w:right="23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future minimum principal payments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2018</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2019</w:t>
            </w: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2020</w:t>
            </w: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84"/>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2021</w:t>
            </w: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84"/>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2022</w:t>
            </w: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84"/>
        </w:trPr>
        <w:tc>
          <w:tcPr>
            <w:tcW w:w="2020" w:type="dxa"/>
            <w:vAlign w:val="bottom"/>
          </w:tcPr>
          <w:p>
            <w:pPr>
              <w:jc w:val="right"/>
              <w:ind w:right="1570"/>
              <w:spacing w:after="0"/>
              <w:rPr>
                <w:sz w:val="20"/>
                <w:szCs w:val="20"/>
                <w:color w:val="auto"/>
              </w:rPr>
            </w:pPr>
            <w:r>
              <w:rPr>
                <w:rFonts w:ascii="Arial" w:cs="Arial" w:eastAsia="Arial" w:hAnsi="Arial"/>
                <w:sz w:val="18"/>
                <w:szCs w:val="18"/>
                <w:color w:val="auto"/>
                <w:w w:val="84"/>
              </w:rPr>
              <w:t>2023</w:t>
            </w:r>
          </w:p>
        </w:tc>
        <w:tc>
          <w:tcPr>
            <w:tcW w:w="9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41"/>
        </w:trPr>
        <w:tc>
          <w:tcPr>
            <w:tcW w:w="2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2020" w:type="dxa"/>
            <w:vAlign w:val="bottom"/>
          </w:tcPr>
          <w:p>
            <w:pPr>
              <w:spacing w:after="0"/>
              <w:rPr>
                <w:sz w:val="20"/>
                <w:szCs w:val="20"/>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41"/>
        </w:trPr>
        <w:tc>
          <w:tcPr>
            <w:tcW w:w="2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2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total debt issuance costs of $3.7 million, which are reflected as a direct reduction to the term loan balance and are being amortized into interest expense over the life of the loan using the effective interest method. For the three and nine months ended September 30, 2018, the Company recognized interest expense of $737,000 and $1,490,000, respectively, of which $155,000 and $312,000, respectively, was related to the amortization of debt issuance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Convertible 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2018, the Company issued an additional 707,680 shares of Series C convertible preferred stock for net proceeds of $4.4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2018, a majority of the holders of the Company's convertible preferred stock elected to have their shares converted into common stock, therefore, all outstanding shares of preferred stock were converted into 11,837,073 shares of common stock at a conversion rate of 1:1.78112 upon the closing of the Company's IPO on June 25,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conversion of the convertible preferred stock into common stock; the holders of the Company’s convertible preferred stock were entitled to receive non-cumulative dividends at the rate of 8% of the purchase price per annum in preference to any dividends to the holders of the common stock, payable as and if when declared by the Board of Directors. No such dividends were declared by the Company’s Board of Directors. The holders of the convertible preferred stock also were entitled to participate pro rata in any dividends paid to the holders of the common stock on an as-converted basis. No dividends were declared by the Company’s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2014 the Company issued 19,931 warrants (“2014 Warrants”) to certain investors. The 2014 Warrants allow each holder to purchase one share of common stock for $5.912. There have been no exercises of 2014 Warrants and as such all 19,931 warrants were outstanding as of September 30, 2018.</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Loan and Security Agreement discussed in Note 5, "Long-term Debt," in the notes to unaudited condensed financial statements, the Lenders receive warrants equal to 3.0% of the principal borrowing amounts concurrent with the borrowing. The warrants represent a right for the lender to purchase shares of the Company’s common stock at an initial exercise price of $11.169 per share. The Company issued 53,720 warrants ("Term A Warrants") upon the drawdown of the Term A Loan in February 2018 and the Company issued 40,292 warrants ("Term B Warrants") upon the drawdown of the Term B Loan in September 2018. There have been no exercises of Term A Warrants or Term B Warrants and as such all 53,720 warrants and 40,292 warrants were outstanding as of September 30, 2018, respectively.</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the warrants are a freestanding instrument, indexed to the Company's stock, they do not meet the criteria for equity classification. Therefore warrants are liability classified and subject to remeasurement at each reporting period until they are exercised, expired, or otherwise settled. The initial fair value of the warrant liability was recorded with a corresponding offset to deferred debt cost which is a reduction to the notional value of the debt.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recognized a gain of $29,000, $79,000 and $343,000 upon the change in fair value of the warrants during the three months ended September 30, 2018 related to the 2014 Warrants, the Term A Warrants and the Term B Warrants, respectively. The Company recognized a gain (loss) of $(149,000), $(131,000) and $343,000 upon the change in fair value of the warrants during the nine months ended September 30, 2018 related to the 2014 Warrants, the Term A Warrants and the Term B Warrants, respectively. The Company</w:t>
      </w:r>
    </w:p>
    <w:p>
      <w:pPr>
        <w:sectPr>
          <w:pgSz w:w="11900" w:h="16838" w:orient="portrait"/>
          <w:cols w:equalWidth="0" w:num="1">
            <w:col w:w="11420"/>
          </w:cols>
          <w:pgMar w:left="240" w:top="378"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78"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recognized a loss of $0 and $(32,000) upon the change in fair value of the 2014 Warrants during the three and nine months ended September 30,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As of September 30, 2018, the following warrants were outstanding:</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87"/>
        </w:trPr>
        <w:tc>
          <w:tcPr>
            <w:tcW w:w="5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Exercise Price per</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34"/>
        </w:trPr>
        <w:tc>
          <w:tcPr>
            <w:tcW w:w="5720" w:type="dxa"/>
            <w:vAlign w:val="bottom"/>
          </w:tcPr>
          <w:p>
            <w:pPr>
              <w:spacing w:after="0"/>
              <w:rPr>
                <w:sz w:val="20"/>
                <w:szCs w:val="20"/>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Outstanding Shares</w:t>
            </w:r>
          </w:p>
        </w:tc>
        <w:tc>
          <w:tcPr>
            <w:tcW w:w="10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54"/>
        </w:trPr>
        <w:tc>
          <w:tcPr>
            <w:tcW w:w="57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358"/>
        </w:trPr>
        <w:tc>
          <w:tcPr>
            <w:tcW w:w="5720" w:type="dxa"/>
            <w:vAlign w:val="bottom"/>
          </w:tcPr>
          <w:p>
            <w:pPr>
              <w:ind w:left="80"/>
              <w:spacing w:after="0"/>
              <w:rPr>
                <w:sz w:val="20"/>
                <w:szCs w:val="20"/>
                <w:color w:val="auto"/>
              </w:rPr>
            </w:pPr>
            <w:r>
              <w:rPr>
                <w:rFonts w:ascii="Arial" w:cs="Arial" w:eastAsia="Arial" w:hAnsi="Arial"/>
                <w:sz w:val="18"/>
                <w:szCs w:val="18"/>
                <w:color w:val="auto"/>
              </w:rPr>
              <w:t>2014 Warrants</w:t>
            </w:r>
          </w:p>
        </w:tc>
        <w:tc>
          <w:tcPr>
            <w:tcW w:w="1840" w:type="dxa"/>
            <w:vAlign w:val="bottom"/>
          </w:tcPr>
          <w:p>
            <w:pPr>
              <w:jc w:val="right"/>
              <w:spacing w:after="0"/>
              <w:rPr>
                <w:sz w:val="20"/>
                <w:szCs w:val="20"/>
                <w:color w:val="auto"/>
              </w:rPr>
            </w:pPr>
            <w:r>
              <w:rPr>
                <w:rFonts w:ascii="Arial" w:cs="Arial" w:eastAsia="Arial" w:hAnsi="Arial"/>
                <w:sz w:val="18"/>
                <w:szCs w:val="18"/>
                <w:color w:val="auto"/>
              </w:rPr>
              <w:t>19,931</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$5.912</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August 2020</w:t>
            </w:r>
          </w:p>
        </w:tc>
      </w:tr>
      <w:tr>
        <w:trPr>
          <w:trHeight w:val="297"/>
        </w:trPr>
        <w:tc>
          <w:tcPr>
            <w:tcW w:w="5720" w:type="dxa"/>
            <w:vAlign w:val="bottom"/>
          </w:tcPr>
          <w:p>
            <w:pPr>
              <w:ind w:left="80"/>
              <w:spacing w:after="0"/>
              <w:rPr>
                <w:sz w:val="20"/>
                <w:szCs w:val="20"/>
                <w:color w:val="auto"/>
              </w:rPr>
            </w:pPr>
            <w:r>
              <w:rPr>
                <w:rFonts w:ascii="Arial" w:cs="Arial" w:eastAsia="Arial" w:hAnsi="Arial"/>
                <w:sz w:val="18"/>
                <w:szCs w:val="18"/>
                <w:color w:val="auto"/>
              </w:rPr>
              <w:t>Term A Warrants</w:t>
            </w:r>
          </w:p>
        </w:tc>
        <w:tc>
          <w:tcPr>
            <w:tcW w:w="1840" w:type="dxa"/>
            <w:vAlign w:val="bottom"/>
          </w:tcPr>
          <w:p>
            <w:pPr>
              <w:jc w:val="right"/>
              <w:spacing w:after="0"/>
              <w:rPr>
                <w:sz w:val="20"/>
                <w:szCs w:val="20"/>
                <w:color w:val="auto"/>
              </w:rPr>
            </w:pPr>
            <w:r>
              <w:rPr>
                <w:rFonts w:ascii="Arial" w:cs="Arial" w:eastAsia="Arial" w:hAnsi="Arial"/>
                <w:sz w:val="18"/>
                <w:szCs w:val="18"/>
                <w:color w:val="auto"/>
              </w:rPr>
              <w:t>53,720</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$11.169</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February 2025</w:t>
            </w:r>
          </w:p>
        </w:tc>
      </w:tr>
      <w:tr>
        <w:trPr>
          <w:trHeight w:val="297"/>
        </w:trPr>
        <w:tc>
          <w:tcPr>
            <w:tcW w:w="5720" w:type="dxa"/>
            <w:vAlign w:val="bottom"/>
          </w:tcPr>
          <w:p>
            <w:pPr>
              <w:ind w:left="80"/>
              <w:spacing w:after="0"/>
              <w:rPr>
                <w:sz w:val="20"/>
                <w:szCs w:val="20"/>
                <w:color w:val="auto"/>
              </w:rPr>
            </w:pPr>
            <w:r>
              <w:rPr>
                <w:rFonts w:ascii="Arial" w:cs="Arial" w:eastAsia="Arial" w:hAnsi="Arial"/>
                <w:sz w:val="18"/>
                <w:szCs w:val="18"/>
                <w:color w:val="auto"/>
              </w:rPr>
              <w:t>Term B Warrants</w:t>
            </w:r>
          </w:p>
        </w:tc>
        <w:tc>
          <w:tcPr>
            <w:tcW w:w="1840" w:type="dxa"/>
            <w:vAlign w:val="bottom"/>
          </w:tcPr>
          <w:p>
            <w:pPr>
              <w:jc w:val="right"/>
              <w:spacing w:after="0"/>
              <w:rPr>
                <w:sz w:val="20"/>
                <w:szCs w:val="20"/>
                <w:color w:val="auto"/>
              </w:rPr>
            </w:pPr>
            <w:r>
              <w:rPr>
                <w:rFonts w:ascii="Arial" w:cs="Arial" w:eastAsia="Arial" w:hAnsi="Arial"/>
                <w:sz w:val="18"/>
                <w:szCs w:val="18"/>
                <w:color w:val="auto"/>
              </w:rPr>
              <w:t>40,292</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$11.169</w:t>
            </w: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September 2025</w:t>
            </w:r>
          </w:p>
        </w:tc>
      </w:tr>
      <w:tr>
        <w:trPr>
          <w:trHeight w:val="54"/>
        </w:trPr>
        <w:tc>
          <w:tcPr>
            <w:tcW w:w="57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37"/>
        </w:trPr>
        <w:tc>
          <w:tcPr>
            <w:tcW w:w="57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113,943</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54"/>
        </w:trPr>
        <w:tc>
          <w:tcPr>
            <w:tcW w:w="572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0"/>
        </w:trPr>
        <w:tc>
          <w:tcPr>
            <w:tcW w:w="57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non-cancellable operating leases for office space, which expire at various times through 2024. The non-cancellable office lease agreements provide for monthly lease payments, which increase during the term of each lease agreement. In the first quarter of 2018, the Company signed a new lease for office space in Chicago, Illinois with remaining future minimum lease payments of approximately $49,000 in 2018, $84,000 in 2019, $210,000 in 2020, $219,000 in 2021, $228,000 in 2022, and $524,000 in 2023 and thereafter.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 expense under these operating leases was approximately $421,000 and $133,000 for the three months ended September 30, 2018 and 2017, respectively, and $841,000 and $304,000 for the nine months ended September 30,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Compensation Plan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2011 the Company adopted the 2011 Stock Option Issuance Plan (“2011 Plan”) and subsequently amended it to authorize the Board of Directors to issue up to 4,714,982 incentive grant and non-statutory awards.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2018 Stock Option and Incentive Plan ("2018 Plan") was adopted by our Board of Directors in April 2018 and approved by our stockholders in June 2018 to award up to 1,822,000 shares of our common stock. This plan became effective on the date immediately prior to the effectiveness of the Company's IPO registration statement. The 2018 Plan replaced the 2011 Plan as our Board of Directors determined not to make additional awards under the 2011 Plan following the closing of our IPO, which occurred in June 2018. The 2018 Plan allows the compensation committee to make equity-based and cash-based incentive awards to our officers, employees, directors and other key persons (including consultants). As of September 30, 2018, there were 1,539,190 awards available for future issuance.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options are granted with an exercise price equal to the market price of the Company’s stock at the date of grant. Stock option awards typically vest over either two years or four years after the grant date and expire ten years from the grant date.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each option is estimated on the date of grant using a Black-Scholes option valuation model that uses the assumptions noted in the following table. The expected life of options represents the period of time that options granted are expected to be outstanding. The risk-free interest rate for periods during the contractual life of the option is based on the U.S. Treasury yield curve in effect at the time of grant. For fiscal 2018, the expected volatility is based on the historical volatility of certain peer companies over the most recent period corresponding to the expected life as of the grant date. The expected dividend yield is based on the expected annual dividend as a percentage of the market value of the Company’s ordinary shares as of the grant date. The Company uses historical data to estimate option exercises and employee terminations within the valuation model.</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stock options granted was estimated with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80" w:type="dxa"/>
            <w:vAlign w:val="bottom"/>
            <w:gridSpan w:val="6"/>
          </w:tcPr>
          <w:p>
            <w:pPr>
              <w:jc w:val="right"/>
              <w:ind w:right="63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Expected term</w:t>
            </w: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00" w:type="dxa"/>
            <w:vAlign w:val="bottom"/>
            <w:gridSpan w:val="2"/>
            <w:vMerge w:val="continue"/>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58.55</w:t>
            </w:r>
          </w:p>
        </w:tc>
        <w:tc>
          <w:tcPr>
            <w:tcW w:w="28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61.23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100" w:type="dxa"/>
            <w:vAlign w:val="bottom"/>
            <w:gridSpan w:val="2"/>
          </w:tcPr>
          <w:p>
            <w:pPr>
              <w:ind w:left="40"/>
              <w:spacing w:after="0"/>
              <w:rPr>
                <w:sz w:val="20"/>
                <w:szCs w:val="20"/>
                <w:color w:val="auto"/>
              </w:rPr>
            </w:pPr>
            <w:r>
              <w:rPr>
                <w:rFonts w:ascii="Arial" w:cs="Arial" w:eastAsia="Arial" w:hAnsi="Arial"/>
                <w:sz w:val="18"/>
                <w:szCs w:val="18"/>
                <w:color w:val="auto"/>
              </w:rPr>
              <w:t>Expected dividends</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720" w:type="dxa"/>
            <w:vAlign w:val="bottom"/>
            <w:gridSpan w:val="6"/>
          </w:tcPr>
          <w:p>
            <w:pPr>
              <w:spacing w:after="0"/>
              <w:rPr>
                <w:sz w:val="20"/>
                <w:szCs w:val="20"/>
                <w:color w:val="auto"/>
              </w:rPr>
            </w:pPr>
            <w:r>
              <w:rPr>
                <w:rFonts w:ascii="Arial" w:cs="Arial" w:eastAsia="Arial" w:hAnsi="Arial"/>
                <w:sz w:val="18"/>
                <w:szCs w:val="18"/>
                <w:color w:val="auto"/>
              </w:rPr>
              <w:t>Stock option activity for employee awards for the nine months ended September 30, 2018 was as follows: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jc w:val="center"/>
              <w:ind w:left="250"/>
              <w:spacing w:after="0"/>
              <w:rPr>
                <w:sz w:val="20"/>
                <w:szCs w:val="20"/>
                <w:color w:val="auto"/>
              </w:rPr>
            </w:pPr>
            <w:r>
              <w:rPr>
                <w:rFonts w:ascii="Arial" w:cs="Arial" w:eastAsia="Arial" w:hAnsi="Arial"/>
                <w:sz w:val="18"/>
                <w:szCs w:val="18"/>
                <w:b w:val="1"/>
                <w:bCs w:val="1"/>
                <w:color w:val="auto"/>
              </w:rPr>
              <w:t>WEIGHTED</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ind w:left="230"/>
              <w:spacing w:after="0"/>
              <w:rPr>
                <w:sz w:val="20"/>
                <w:szCs w:val="20"/>
                <w:color w:val="auto"/>
              </w:rPr>
            </w:pPr>
            <w:r>
              <w:rPr>
                <w:rFonts w:ascii="Arial" w:cs="Arial" w:eastAsia="Arial" w:hAnsi="Arial"/>
                <w:sz w:val="18"/>
                <w:szCs w:val="18"/>
                <w:b w:val="1"/>
                <w:bCs w:val="1"/>
                <w:color w:val="auto"/>
                <w:w w:val="98"/>
              </w:rPr>
              <w:t>AVERAGE</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jc w:val="center"/>
              <w:ind w:left="190"/>
              <w:spacing w:after="0"/>
              <w:rPr>
                <w:sz w:val="20"/>
                <w:szCs w:val="20"/>
                <w:color w:val="auto"/>
              </w:rPr>
            </w:pPr>
            <w:r>
              <w:rPr>
                <w:rFonts w:ascii="Arial" w:cs="Arial" w:eastAsia="Arial" w:hAnsi="Arial"/>
                <w:sz w:val="18"/>
                <w:szCs w:val="18"/>
                <w:b w:val="1"/>
                <w:bCs w:val="1"/>
                <w:color w:val="auto"/>
              </w:rPr>
              <w:t>CONTRACTUAL</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400" w:type="dxa"/>
            <w:vAlign w:val="bottom"/>
          </w:tcPr>
          <w:p>
            <w:pPr>
              <w:ind w:left="840"/>
              <w:spacing w:after="0"/>
              <w:rPr>
                <w:sz w:val="20"/>
                <w:szCs w:val="20"/>
                <w:color w:val="auto"/>
              </w:rPr>
            </w:pPr>
            <w:r>
              <w:rPr>
                <w:rFonts w:ascii="Arial" w:cs="Arial" w:eastAsia="Arial" w:hAnsi="Arial"/>
                <w:sz w:val="18"/>
                <w:szCs w:val="18"/>
                <w:b w:val="1"/>
                <w:bCs w:val="1"/>
                <w:color w:val="auto"/>
                <w:w w:val="99"/>
              </w:rPr>
              <w:t>UNITS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EXERCISE PRICE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LIFE (YEARS)</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 January 1, 2018</w:t>
            </w:r>
          </w:p>
        </w:tc>
        <w:tc>
          <w:tcPr>
            <w:tcW w:w="14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1,946,230</w:t>
            </w:r>
          </w:p>
        </w:tc>
        <w:tc>
          <w:tcPr>
            <w:tcW w:w="140" w:type="dxa"/>
            <w:vAlign w:val="bottom"/>
          </w:tcPr>
          <w:p>
            <w:pPr>
              <w:spacing w:after="0"/>
              <w:rPr>
                <w:sz w:val="20"/>
                <w:szCs w:val="20"/>
                <w:color w:val="auto"/>
              </w:rPr>
            </w:pP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1.66</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84"/>
        </w:trPr>
        <w:tc>
          <w:tcPr>
            <w:tcW w:w="6100" w:type="dxa"/>
            <w:vAlign w:val="bottom"/>
            <w:gridSpan w:val="2"/>
          </w:tcPr>
          <w:p>
            <w:pPr>
              <w:ind w:left="340"/>
              <w:spacing w:after="0"/>
              <w:rPr>
                <w:sz w:val="20"/>
                <w:szCs w:val="20"/>
                <w:color w:val="auto"/>
              </w:rPr>
            </w:pPr>
            <w:r>
              <w:rPr>
                <w:rFonts w:ascii="Arial" w:cs="Arial" w:eastAsia="Arial" w:hAnsi="Arial"/>
                <w:sz w:val="18"/>
                <w:szCs w:val="18"/>
                <w:color w:val="auto"/>
              </w:rPr>
              <w:t>Issued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1,167,077</w:t>
            </w:r>
          </w:p>
        </w:tc>
        <w:tc>
          <w:tcPr>
            <w:tcW w:w="140" w:type="dxa"/>
            <w:vAlign w:val="bottom"/>
          </w:tcPr>
          <w:p>
            <w:pPr>
              <w:spacing w:after="0"/>
              <w:rPr>
                <w:sz w:val="24"/>
                <w:szCs w:val="24"/>
                <w:color w:val="auto"/>
              </w:rPr>
            </w:pPr>
          </w:p>
        </w:tc>
        <w:tc>
          <w:tcPr>
            <w:tcW w:w="2120" w:type="dxa"/>
            <w:vAlign w:val="bottom"/>
            <w:gridSpan w:val="3"/>
          </w:tcPr>
          <w:p>
            <w:pPr>
              <w:jc w:val="right"/>
              <w:ind w:right="80"/>
              <w:spacing w:after="0"/>
              <w:rPr>
                <w:sz w:val="20"/>
                <w:szCs w:val="20"/>
                <w:color w:val="auto"/>
              </w:rPr>
            </w:pPr>
            <w:r>
              <w:rPr>
                <w:rFonts w:ascii="Arial" w:cs="Arial" w:eastAsia="Arial" w:hAnsi="Arial"/>
                <w:sz w:val="18"/>
                <w:szCs w:val="18"/>
                <w:color w:val="auto"/>
              </w:rPr>
              <w:t>12.13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00" w:type="dxa"/>
            <w:vAlign w:val="bottom"/>
            <w:gridSpan w:val="2"/>
          </w:tcPr>
          <w:p>
            <w:pPr>
              <w:ind w:left="340"/>
              <w:spacing w:after="0"/>
              <w:rPr>
                <w:sz w:val="20"/>
                <w:szCs w:val="20"/>
                <w:color w:val="auto"/>
              </w:rPr>
            </w:pPr>
            <w:r>
              <w:rPr>
                <w:rFonts w:ascii="Arial" w:cs="Arial" w:eastAsia="Arial" w:hAnsi="Arial"/>
                <w:sz w:val="18"/>
                <w:szCs w:val="18"/>
                <w:color w:val="auto"/>
              </w:rPr>
              <w:t>Exercised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(181,884)</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1.42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00" w:type="dxa"/>
            <w:vAlign w:val="bottom"/>
            <w:gridSpan w:val="2"/>
          </w:tcPr>
          <w:p>
            <w:pPr>
              <w:ind w:left="340"/>
              <w:spacing w:after="0"/>
              <w:rPr>
                <w:sz w:val="20"/>
                <w:szCs w:val="20"/>
                <w:color w:val="auto"/>
              </w:rPr>
            </w:pPr>
            <w:r>
              <w:rPr>
                <w:rFonts w:ascii="Arial" w:cs="Arial" w:eastAsia="Arial" w:hAnsi="Arial"/>
                <w:sz w:val="18"/>
                <w:szCs w:val="18"/>
                <w:color w:val="auto"/>
              </w:rPr>
              <w:t>Forfeited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(185,003)</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1.94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100" w:type="dxa"/>
            <w:vAlign w:val="bottom"/>
            <w:gridSpan w:val="2"/>
          </w:tcPr>
          <w:p>
            <w:pPr>
              <w:spacing w:after="0"/>
              <w:rPr>
                <w:sz w:val="3"/>
                <w:szCs w:val="3"/>
                <w:color w:val="auto"/>
              </w:rPr>
            </w:pPr>
          </w:p>
        </w:tc>
        <w:tc>
          <w:tcPr>
            <w:tcW w:w="7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2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Outstanding - September 30, 2018</w:t>
            </w:r>
          </w:p>
        </w:tc>
        <w:tc>
          <w:tcPr>
            <w:tcW w:w="1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2,746,420</w:t>
            </w:r>
          </w:p>
        </w:tc>
        <w:tc>
          <w:tcPr>
            <w:tcW w:w="140" w:type="dxa"/>
            <w:vAlign w:val="bottom"/>
          </w:tcPr>
          <w:p>
            <w:pPr>
              <w:spacing w:after="0"/>
              <w:rPr>
                <w:sz w:val="20"/>
                <w:szCs w:val="20"/>
                <w:color w:val="auto"/>
              </w:rPr>
            </w:pP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6.26</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 September 30, 2018</w:t>
            </w:r>
          </w:p>
        </w:tc>
        <w:tc>
          <w:tcPr>
            <w:tcW w:w="1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2,347,080</w:t>
            </w:r>
          </w:p>
        </w:tc>
        <w:tc>
          <w:tcPr>
            <w:tcW w:w="140" w:type="dxa"/>
            <w:vAlign w:val="bottom"/>
          </w:tcPr>
          <w:p>
            <w:pPr>
              <w:spacing w:after="0"/>
              <w:rPr>
                <w:sz w:val="19"/>
                <w:szCs w:val="19"/>
                <w:color w:val="auto"/>
              </w:rPr>
            </w:pPr>
          </w:p>
        </w:tc>
        <w:tc>
          <w:tcPr>
            <w:tcW w:w="172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1"/>
              </w:rPr>
              <w:t>4.54</w:t>
            </w:r>
          </w:p>
        </w:tc>
        <w:tc>
          <w:tcPr>
            <w:tcW w:w="40" w:type="dxa"/>
            <w:vAlign w:val="bottom"/>
            <w:tcBorders>
              <w:top w:val="single" w:sz="8" w:color="auto"/>
            </w:tcBorders>
          </w:tcPr>
          <w:p>
            <w:pPr>
              <w:spacing w:after="0"/>
              <w:rPr>
                <w:sz w:val="19"/>
                <w:szCs w:val="19"/>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Vested and expected to vest at September 30, 2018</w:t>
            </w:r>
          </w:p>
        </w:tc>
        <w:tc>
          <w:tcPr>
            <w:tcW w:w="1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2,470,131</w:t>
            </w:r>
          </w:p>
        </w:tc>
        <w:tc>
          <w:tcPr>
            <w:tcW w:w="140" w:type="dxa"/>
            <w:vAlign w:val="bottom"/>
          </w:tcPr>
          <w:p>
            <w:pPr>
              <w:spacing w:after="0"/>
              <w:rPr>
                <w:sz w:val="19"/>
                <w:szCs w:val="19"/>
                <w:color w:val="auto"/>
              </w:rPr>
            </w:pPr>
          </w:p>
        </w:tc>
        <w:tc>
          <w:tcPr>
            <w:tcW w:w="172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8"/>
                <w:szCs w:val="18"/>
                <w:color w:val="auto"/>
                <w:w w:val="91"/>
              </w:rPr>
              <w:t>6.07</w:t>
            </w:r>
          </w:p>
        </w:tc>
        <w:tc>
          <w:tcPr>
            <w:tcW w:w="40" w:type="dxa"/>
            <w:vAlign w:val="bottom"/>
            <w:tcBorders>
              <w:top w:val="single" w:sz="8" w:color="auto"/>
            </w:tcBorders>
          </w:tcPr>
          <w:p>
            <w:pPr>
              <w:spacing w:after="0"/>
              <w:rPr>
                <w:sz w:val="19"/>
                <w:szCs w:val="19"/>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41"/>
        </w:trPr>
        <w:tc>
          <w:tcPr>
            <w:tcW w:w="47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fair value of awards granted during the nine months ended September 30, 2018 was $6.53 per share. The total intrinsic value of options exercised during the nine months ended September 30, 2018 was $1.7 million. The aggregate intrinsic value of awards vested and expected to vest as of September 30, 2018 was $29.3 million.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granted stock options to non-employees. These awards are marked to fair value at the end of each reporting period until they vest. Stock option activity for these awards for the nine months ended September 30, 2018 was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18"/>
                <w:szCs w:val="18"/>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 LIFE</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400" w:type="dxa"/>
            <w:vAlign w:val="bottom"/>
          </w:tcPr>
          <w:p>
            <w:pPr>
              <w:ind w:left="820"/>
              <w:spacing w:after="0"/>
              <w:rPr>
                <w:sz w:val="20"/>
                <w:szCs w:val="20"/>
                <w:color w:val="auto"/>
              </w:rPr>
            </w:pPr>
            <w:r>
              <w:rPr>
                <w:rFonts w:ascii="Arial" w:cs="Arial" w:eastAsia="Arial" w:hAnsi="Arial"/>
                <w:sz w:val="18"/>
                <w:szCs w:val="18"/>
                <w:b w:val="1"/>
                <w:bCs w:val="1"/>
                <w:color w:val="auto"/>
              </w:rPr>
              <w:t>UNITS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jc w:val="right"/>
              <w:ind w:right="23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216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Outstanding - January 1, 2018</w:t>
            </w:r>
          </w:p>
        </w:tc>
        <w:tc>
          <w:tcPr>
            <w:tcW w:w="14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33,125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84"/>
        </w:trPr>
        <w:tc>
          <w:tcPr>
            <w:tcW w:w="6060" w:type="dxa"/>
            <w:vAlign w:val="bottom"/>
            <w:gridSpan w:val="2"/>
          </w:tcPr>
          <w:p>
            <w:pPr>
              <w:ind w:left="300"/>
              <w:spacing w:after="0"/>
              <w:rPr>
                <w:sz w:val="20"/>
                <w:szCs w:val="20"/>
                <w:color w:val="auto"/>
              </w:rPr>
            </w:pPr>
            <w:r>
              <w:rPr>
                <w:rFonts w:ascii="Arial" w:cs="Arial" w:eastAsia="Arial" w:hAnsi="Arial"/>
                <w:sz w:val="18"/>
                <w:szCs w:val="18"/>
                <w:color w:val="auto"/>
              </w:rPr>
              <w:t>Issued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gridSpan w:val="2"/>
          </w:tcPr>
          <w:p>
            <w:pPr>
              <w:ind w:left="300"/>
              <w:spacing w:after="0"/>
              <w:rPr>
                <w:sz w:val="20"/>
                <w:szCs w:val="20"/>
                <w:color w:val="auto"/>
              </w:rPr>
            </w:pPr>
            <w:r>
              <w:rPr>
                <w:rFonts w:ascii="Arial" w:cs="Arial" w:eastAsia="Arial" w:hAnsi="Arial"/>
                <w:sz w:val="18"/>
                <w:szCs w:val="18"/>
                <w:color w:val="auto"/>
              </w:rPr>
              <w:t>Exercised</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5"/>
              </w:rPr>
              <w:t>(26,337)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060" w:type="dxa"/>
            <w:vAlign w:val="bottom"/>
            <w:gridSpan w:val="2"/>
          </w:tcPr>
          <w:p>
            <w:pPr>
              <w:ind w:left="300"/>
              <w:spacing w:after="0"/>
              <w:rPr>
                <w:sz w:val="20"/>
                <w:szCs w:val="20"/>
                <w:color w:val="auto"/>
              </w:rPr>
            </w:pPr>
            <w:r>
              <w:rPr>
                <w:rFonts w:ascii="Arial" w:cs="Arial" w:eastAsia="Arial" w:hAnsi="Arial"/>
                <w:sz w:val="18"/>
                <w:szCs w:val="18"/>
                <w:color w:val="auto"/>
              </w:rPr>
              <w:t>Forfeited</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Outstanding - September 30, 2018</w:t>
            </w:r>
          </w:p>
        </w:tc>
        <w:tc>
          <w:tcPr>
            <w:tcW w:w="1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Exercisable - September 30, 2018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Vested and expected to vest at September 30, 2018</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2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6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of awards vested and expected to vest at September 30, 2018 was $111,000. The aggregate intrinsic value of awards exercisable as of September 30, 2018 was $111,000. The company recognized expense associated with these awards of $8,000 and $3,000 for the three months ended September 30, 2018 and 2017, respectively. The company recognized expense associated with these awards of $114,000 and $12,000 for the nine months ended September 30, 2018 and 2017, respectively.</w:t>
      </w:r>
    </w:p>
    <w:p>
      <w:pPr>
        <w:sectPr>
          <w:pgSz w:w="11900" w:h="16838" w:orient="portrait"/>
          <w:cols w:equalWidth="0" w:num="1">
            <w:col w:w="11420"/>
          </w:cols>
          <w:pgMar w:left="240" w:top="378"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78" w:right="239"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reporting of total stock-based compensation expense resulting from employee and non-employee stock options: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0"/>
              </w:rPr>
              <w:t>September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4"/>
        </w:trPr>
        <w:tc>
          <w:tcPr>
            <w:tcW w:w="5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24"/>
                <w:szCs w:val="24"/>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41"/>
        </w:trPr>
        <w:tc>
          <w:tcPr>
            <w:tcW w:w="5120" w:type="dxa"/>
            <w:vAlign w:val="bottom"/>
            <w:vMerge w:val="restart"/>
          </w:tcPr>
          <w:p>
            <w:pPr>
              <w:ind w:left="300"/>
              <w:spacing w:after="0"/>
              <w:rPr>
                <w:sz w:val="20"/>
                <w:szCs w:val="20"/>
                <w:color w:val="auto"/>
              </w:rPr>
            </w:pPr>
            <w:r>
              <w:rPr>
                <w:rFonts w:ascii="Arial" w:cs="Arial" w:eastAsia="Arial" w:hAnsi="Arial"/>
                <w:sz w:val="18"/>
                <w:szCs w:val="18"/>
                <w:color w:val="auto"/>
              </w:rPr>
              <w:t>Total stock-based compensation</w:t>
            </w: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2018, there was a total of $6.9 million of unrecognized compensation expense that is expected to be recognized over a weighted average period of 1.51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Fair value measurements are classified and disclosed in one of the following categories:</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1: Measured using unadjusted quoted prices in active markets that are accessible at the measurement date for identical, unrestricted assets or liabilities.</w:t>
      </w:r>
    </w:p>
    <w:p>
      <w:pPr>
        <w:spacing w:after="0" w:line="170"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Level 2: Measured using quoted prices in active markets for similar assets or liabilities, quoted prices for identical or similar assets or liabilities in markets that are not active, or inputs, other than quoted prices in active markets, that are observable either directly or indirectly; and</w:t>
      </w:r>
    </w:p>
    <w:p>
      <w:pPr>
        <w:spacing w:after="0" w:line="14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Level 3: Measured based on prices or valuation models that required inputs that are both significant to the fair value measurement and less observable from objective sources (i.e., supported by little or no market activity).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Fair value measurements are classified based on the lowest level of input that is significant to the measurement. The Company’s assessment of the significance of a particular input to the fair value measurement requires judgment, which may affect the valuation of the assets and liabilities and their placement within the fair value hierarchy levels. The determination of the fair values stated below takes into account the market for its financial assets and liabilities, the associated credit risk and other factors as required. The Company considers active markets as those in which transactions for the assets or liabilities occur in sufficient frequency and volume to provide pricing information on an ongoing basis.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8" w:right="2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Company’s fair value hierarchy for those assets and liabilities measured at fair value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Total as of</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2018</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3620" w:type="dxa"/>
            <w:vAlign w:val="bottom"/>
            <w:vMerge w:val="restart"/>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72,746</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72,746</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vMerge w:val="restart"/>
          </w:tcPr>
          <w:p>
            <w:pPr>
              <w:ind w:left="440"/>
              <w:spacing w:after="0"/>
              <w:rPr>
                <w:sz w:val="20"/>
                <w:szCs w:val="20"/>
                <w:color w:val="auto"/>
              </w:rPr>
            </w:pPr>
            <w:r>
              <w:rPr>
                <w:rFonts w:ascii="Arial" w:cs="Arial" w:eastAsia="Arial" w:hAnsi="Arial"/>
                <w:sz w:val="18"/>
                <w:szCs w:val="18"/>
                <w:color w:val="auto"/>
              </w:rPr>
              <w:t>Total cash and cash</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tcPr>
          <w:p>
            <w:pPr>
              <w:jc w:val="right"/>
              <w:ind w:right="10"/>
              <w:spacing w:after="0"/>
              <w:rPr>
                <w:sz w:val="20"/>
                <w:szCs w:val="20"/>
                <w:color w:val="auto"/>
              </w:rPr>
            </w:pPr>
            <w:r>
              <w:rPr>
                <w:rFonts w:ascii="Arial" w:cs="Arial" w:eastAsia="Arial" w:hAnsi="Arial"/>
                <w:sz w:val="18"/>
                <w:szCs w:val="18"/>
                <w:color w:val="auto"/>
              </w:rPr>
              <w:t>75,745</w:t>
            </w:r>
          </w:p>
        </w:tc>
        <w:tc>
          <w:tcPr>
            <w:tcW w:w="12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color w:val="auto"/>
              </w:rPr>
              <w:t>75,745</w:t>
            </w:r>
          </w:p>
        </w:tc>
        <w:tc>
          <w:tcPr>
            <w:tcW w:w="100" w:type="dxa"/>
            <w:vAlign w:val="bottom"/>
          </w:tcPr>
          <w:p>
            <w:pPr>
              <w:spacing w:after="0"/>
              <w:rPr>
                <w:sz w:val="18"/>
                <w:szCs w:val="18"/>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ind w:left="580"/>
              <w:spacing w:after="0"/>
              <w:rPr>
                <w:sz w:val="20"/>
                <w:szCs w:val="20"/>
                <w:color w:val="auto"/>
              </w:rPr>
            </w:pPr>
            <w:r>
              <w:rPr>
                <w:rFonts w:ascii="Arial" w:cs="Arial" w:eastAsia="Arial" w:hAnsi="Arial"/>
                <w:sz w:val="18"/>
                <w:szCs w:val="18"/>
                <w:color w:val="auto"/>
              </w:rPr>
              <w:t>equivalents</w:t>
            </w:r>
          </w:p>
        </w:tc>
        <w:tc>
          <w:tcPr>
            <w:tcW w:w="18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32,212</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32,212</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Corporate securities</w:t>
            </w:r>
          </w:p>
        </w:tc>
        <w:tc>
          <w:tcPr>
            <w:tcW w:w="1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20" w:type="dxa"/>
            <w:vAlign w:val="bottom"/>
          </w:tcPr>
          <w:p>
            <w:pPr>
              <w:ind w:left="22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3"/>
                <w:szCs w:val="23"/>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10,928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10,928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ind w:left="360"/>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55,296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32,212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23,084</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i w:val="1"/>
                <w:iCs w:val="1"/>
                <w:color w:val="auto"/>
              </w:rPr>
              <w:t>Other current liabilities</w:t>
            </w: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620" w:type="dxa"/>
            <w:vAlign w:val="bottom"/>
          </w:tcPr>
          <w:p>
            <w:pPr>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Total as of</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2017</w:t>
            </w:r>
          </w:p>
        </w:tc>
        <w:tc>
          <w:tcPr>
            <w:tcW w:w="36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56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2</w:t>
            </w:r>
          </w:p>
        </w:tc>
        <w:tc>
          <w:tcPr>
            <w:tcW w:w="3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17145</wp:posOffset>
            </wp:positionV>
            <wp:extent cx="4922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ectPr>
          <w:pgSz w:w="11900" w:h="16838" w:orient="portrait"/>
          <w:cols w:equalWidth="0" w:num="1">
            <w:col w:w="11420"/>
          </w:cols>
          <w:pgMar w:left="240" w:top="378" w:right="239" w:bottom="1440" w:gutter="0" w:footer="0" w:header="0"/>
        </w:sectPr>
      </w:pP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3620" w:type="dxa"/>
            <w:vAlign w:val="bottom"/>
          </w:tcPr>
          <w:p>
            <w:pPr>
              <w:spacing w:after="0"/>
              <w:rPr>
                <w:sz w:val="20"/>
                <w:szCs w:val="20"/>
                <w:color w:val="auto"/>
              </w:rPr>
            </w:pPr>
            <w:r>
              <w:rPr>
                <w:rFonts w:ascii="Arial" w:cs="Arial" w:eastAsia="Arial" w:hAnsi="Arial"/>
                <w:sz w:val="18"/>
                <w:szCs w:val="18"/>
                <w:color w:val="auto"/>
              </w:rPr>
              <w:t>Money market funds (a)</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39,124</w:t>
            </w:r>
          </w:p>
        </w:tc>
        <w:tc>
          <w:tcPr>
            <w:tcW w:w="120" w:type="dxa"/>
            <w:vAlign w:val="bottom"/>
          </w:tcPr>
          <w:p>
            <w:pPr>
              <w:spacing w:after="0"/>
              <w:rPr>
                <w:sz w:val="21"/>
                <w:szCs w:val="21"/>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i w:val="1"/>
                <w:iCs w:val="1"/>
                <w:color w:val="auto"/>
              </w:rPr>
              <w:t>Other current liabilities</w:t>
            </w: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6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620" w:type="dxa"/>
            <w:vAlign w:val="bottom"/>
          </w:tcPr>
          <w:p>
            <w:pPr>
              <w:spacing w:after="0"/>
              <w:rPr>
                <w:sz w:val="20"/>
                <w:szCs w:val="20"/>
                <w:color w:val="auto"/>
              </w:rPr>
            </w:pPr>
            <w:r>
              <w:rPr>
                <w:rFonts w:ascii="Arial" w:cs="Arial" w:eastAsia="Arial" w:hAnsi="Arial"/>
                <w:sz w:val="18"/>
                <w:szCs w:val="18"/>
                <w:color w:val="auto"/>
              </w:rPr>
              <w:t>Warrant liabilities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The money market funds noted above are included in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commercial paper or short-term investments as of December 31, 2017.</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15"/>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93</w:t>
            </w:r>
          </w:p>
        </w:tc>
      </w:tr>
      <w:tr>
        <w:trPr>
          <w:trHeight w:val="27"/>
        </w:trPr>
        <w:tc>
          <w:tcPr>
            <w:tcW w:w="4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-25400</wp:posOffset>
            </wp:positionV>
            <wp:extent cx="1157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-8255</wp:posOffset>
            </wp:positionV>
            <wp:extent cx="1157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-471170</wp:posOffset>
            </wp:positionV>
            <wp:extent cx="1157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-454025</wp:posOffset>
            </wp:positionV>
            <wp:extent cx="1157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029" w:lineRule="exact"/>
        <w:rPr>
          <w:sz w:val="20"/>
          <w:szCs w:val="20"/>
          <w:color w:val="auto"/>
        </w:rPr>
      </w:pPr>
    </w:p>
    <w:p>
      <w:pPr>
        <w:sectPr>
          <w:pgSz w:w="11900" w:h="16838" w:orient="portrait"/>
          <w:cols w:equalWidth="0" w:num="2">
            <w:col w:w="8480" w:space="720"/>
            <w:col w:w="2220"/>
          </w:cols>
          <w:pgMar w:left="240" w:top="378" w:right="239" w:bottom="1440" w:gutter="0" w:footer="0" w:header="0"/>
          <w:type w:val="continuous"/>
        </w:sectPr>
      </w:pPr>
    </w:p>
    <w:p>
      <w:pPr>
        <w:spacing w:after="0" w:line="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the Company’s warrant liabilities at inception and for subsequent mark-to-market fair value measurements is based on management’s valuation model and expected methods and timing of settlement. These estimates are prepared using models that consider various inputs including: (a) the Company’s estimated future cash flows, (b) time value, (c) current market conditions, and (d) other relevant economic measures.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determined that the warrant liabilities' fair values are Level 3 items within the fair value hierarchy. The following table presents the changes in the warrant liabilities: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4"/>
        </w:trPr>
        <w:tc>
          <w:tcPr>
            <w:tcW w:w="804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84"/>
        </w:trPr>
        <w:tc>
          <w:tcPr>
            <w:tcW w:w="8040" w:type="dxa"/>
            <w:vAlign w:val="bottom"/>
          </w:tcPr>
          <w:p>
            <w:pPr>
              <w:ind w:left="300"/>
              <w:spacing w:after="0"/>
              <w:rPr>
                <w:sz w:val="20"/>
                <w:szCs w:val="20"/>
                <w:color w:val="auto"/>
              </w:rPr>
            </w:pPr>
            <w:r>
              <w:rPr>
                <w:rFonts w:ascii="Arial" w:cs="Arial" w:eastAsia="Arial" w:hAnsi="Arial"/>
                <w:sz w:val="18"/>
                <w:szCs w:val="18"/>
                <w:color w:val="auto"/>
              </w:rPr>
              <w:t>Fair value of Term A Warrants issued under the Loan and Security Agreement</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84"/>
        </w:trPr>
        <w:tc>
          <w:tcPr>
            <w:tcW w:w="8040" w:type="dxa"/>
            <w:vAlign w:val="bottom"/>
          </w:tcPr>
          <w:p>
            <w:pPr>
              <w:ind w:left="300"/>
              <w:spacing w:after="0"/>
              <w:rPr>
                <w:sz w:val="20"/>
                <w:szCs w:val="20"/>
                <w:color w:val="auto"/>
              </w:rPr>
            </w:pPr>
            <w:r>
              <w:rPr>
                <w:rFonts w:ascii="Arial" w:cs="Arial" w:eastAsia="Arial" w:hAnsi="Arial"/>
                <w:sz w:val="18"/>
                <w:szCs w:val="18"/>
                <w:color w:val="auto"/>
              </w:rPr>
              <w:t>Fair value of Term B Warrants issued under the Loan and Security Agreement</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686</w:t>
            </w:r>
          </w:p>
        </w:tc>
      </w:tr>
      <w:tr>
        <w:trPr>
          <w:trHeight w:val="284"/>
        </w:trPr>
        <w:tc>
          <w:tcPr>
            <w:tcW w:w="8040" w:type="dxa"/>
            <w:vAlign w:val="bottom"/>
          </w:tcPr>
          <w:p>
            <w:pPr>
              <w:ind w:left="300"/>
              <w:spacing w:after="0"/>
              <w:rPr>
                <w:sz w:val="20"/>
                <w:szCs w:val="20"/>
                <w:color w:val="auto"/>
              </w:rPr>
            </w:pPr>
            <w:r>
              <w:rPr>
                <w:rFonts w:ascii="Arial" w:cs="Arial" w:eastAsia="Arial" w:hAnsi="Arial"/>
                <w:sz w:val="18"/>
                <w:szCs w:val="18"/>
                <w:color w:val="auto"/>
              </w:rPr>
              <w:t>Change in fair value of warrants</w:t>
            </w:r>
          </w:p>
        </w:tc>
        <w:tc>
          <w:tcPr>
            <w:tcW w:w="9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1"/>
        </w:trPr>
        <w:tc>
          <w:tcPr>
            <w:tcW w:w="8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9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41"/>
        </w:trPr>
        <w:tc>
          <w:tcPr>
            <w:tcW w:w="8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8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of the levels of the fair value hierarchy during the nine months ended September 30, 2018.</w:t>
      </w:r>
    </w:p>
    <w:p>
      <w:pPr>
        <w:sectPr>
          <w:pgSz w:w="11900" w:h="16838" w:orient="portrait"/>
          <w:cols w:equalWidth="0" w:num="1">
            <w:col w:w="11420"/>
          </w:cols>
          <w:pgMar w:left="240" w:top="378" w:right="239" w:bottom="1440" w:gutter="0" w:footer="0" w:header="0"/>
          <w:type w:val="continuous"/>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78" w:right="23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Short-Term 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its short-term investments as available-for-sale. Short-term investments comprise highly liquid investments with minimum “A” rated securities and as of September 30, 2018 consist of U.S. Treasury and agency bonds and corporate entity commercial paper and securities with maturities of more than three months but less than one year at the date of purchase. Short-term investments as of September 30, 2018 have an average maturity of 0.58 years. The investments are reported at fair value with unrealized gains or losses recorded in accumulated other comprehensive loss in the condensed balance sheets. Any differences between the cost and fair value of investments are represented by unrealized gains or losses. Refer to Note 10, "Fair Value Measurements," of the notes to unaudited condensed financial statements for information related to the fair value measurements and valuation methods utilized.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Company’s available for sale short-term investments by major security type as of September 30, 2018:</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Gross Unrealized</w:t>
            </w:r>
          </w:p>
        </w:tc>
        <w:tc>
          <w:tcPr>
            <w:tcW w:w="300" w:type="dxa"/>
            <w:vAlign w:val="bottom"/>
          </w:tcPr>
          <w:p>
            <w:pPr>
              <w:spacing w:after="0"/>
              <w:rPr>
                <w:sz w:val="18"/>
                <w:szCs w:val="18"/>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Cost</w:t>
            </w:r>
          </w:p>
        </w:tc>
        <w:tc>
          <w:tcPr>
            <w:tcW w:w="180" w:type="dxa"/>
            <w:vAlign w:val="bottom"/>
          </w:tcPr>
          <w:p>
            <w:pPr>
              <w:spacing w:after="0"/>
              <w:rPr>
                <w:sz w:val="20"/>
                <w:szCs w:val="20"/>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0"/>
              </w:rPr>
              <w:t>Losses</w:t>
            </w:r>
          </w:p>
        </w:tc>
        <w:tc>
          <w:tcPr>
            <w:tcW w:w="30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700" w:type="dxa"/>
            <w:vAlign w:val="bottom"/>
            <w:vMerge w:val="restart"/>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5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00" w:type="dxa"/>
            <w:vAlign w:val="bottom"/>
          </w:tcPr>
          <w:p>
            <w:pPr>
              <w:ind w:left="220"/>
              <w:spacing w:after="0"/>
              <w:rPr>
                <w:sz w:val="20"/>
                <w:szCs w:val="20"/>
                <w:color w:val="auto"/>
              </w:rPr>
            </w:pPr>
            <w:r>
              <w:rPr>
                <w:rFonts w:ascii="Arial" w:cs="Arial" w:eastAsia="Arial" w:hAnsi="Arial"/>
                <w:sz w:val="18"/>
                <w:szCs w:val="18"/>
                <w:color w:val="auto"/>
              </w:rPr>
              <w:t>Agency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10,938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70"/>
        </w:trPr>
        <w:tc>
          <w:tcPr>
            <w:tcW w:w="5700" w:type="dxa"/>
            <w:vAlign w:val="bottom"/>
          </w:tcPr>
          <w:p>
            <w:pPr>
              <w:ind w:left="220"/>
              <w:spacing w:after="0"/>
              <w:rPr>
                <w:sz w:val="20"/>
                <w:szCs w:val="20"/>
                <w:color w:val="auto"/>
              </w:rPr>
            </w:pPr>
            <w:r>
              <w:rPr>
                <w:rFonts w:ascii="Arial" w:cs="Arial" w:eastAsia="Arial" w:hAnsi="Arial"/>
                <w:sz w:val="18"/>
                <w:szCs w:val="18"/>
                <w:color w:val="auto"/>
              </w:rPr>
              <w:t>Corporate securities</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12,156</w:t>
            </w:r>
          </w:p>
        </w:tc>
        <w:tc>
          <w:tcPr>
            <w:tcW w:w="0" w:type="dxa"/>
            <w:vAlign w:val="bottom"/>
          </w:tcPr>
          <w:p>
            <w:pPr>
              <w:spacing w:after="0"/>
              <w:rPr>
                <w:sz w:val="1"/>
                <w:szCs w:val="1"/>
                <w:color w:val="auto"/>
              </w:rPr>
            </w:pPr>
          </w:p>
        </w:tc>
      </w:tr>
      <w:tr>
        <w:trPr>
          <w:trHeight w:val="270"/>
        </w:trPr>
        <w:tc>
          <w:tcPr>
            <w:tcW w:w="5700" w:type="dxa"/>
            <w:vAlign w:val="bottom"/>
          </w:tcPr>
          <w:p>
            <w:pPr>
              <w:ind w:left="22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32,250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32,212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360"/>
              <w:spacing w:after="0"/>
              <w:rPr>
                <w:sz w:val="20"/>
                <w:szCs w:val="20"/>
                <w:color w:val="auto"/>
              </w:rPr>
            </w:pPr>
            <w:r>
              <w:rPr>
                <w:rFonts w:ascii="Arial" w:cs="Arial" w:eastAsia="Arial" w:hAnsi="Arial"/>
                <w:sz w:val="18"/>
                <w:szCs w:val="18"/>
                <w:color w:val="auto"/>
              </w:rPr>
              <w:t>Total short-term investments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55,354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55,296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investments in short-term securities as of December 31, 2017.</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our available-for-sale investments for other-than-temporary impairment loss quarterly. We consider factors such as the duration, severity and the reason for the decline in value, the potential recovery period and our intent to sell. For debt securities, we also consider whether (i) it is more likely than not that we will be required to sell the debt securities before recovery of their amortized cost basis and (ii) the amortized cost basis cannot be recovered as a result of credit losses. During the quarter ended September 30, 2018, we did not recognize any other-than-temporary impairment losses. All marketable securities with unrealized losses have been in a loss position for less than twelve months.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for Forward-Looking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financial statements and related notes included elsewhere in this Quarterly Report on Form 10-Q and with the audited financial statements and the related notes thereto for the year ended December 31, 2017 included in the prospectus (Registration No. 333-225191) filed pursuant to Rule 424(b) on June 21, 2018 with the U.S. Securities and Exchange Commission. In addition to financial information, the following discussion contains forward-looking statements that reflect our plans, estimates and beliefs. All statements in this document other than statements of historical fact are, or could be, "forward-looking statements" within the meaning of the Private Securities Litigation Reform Act of 1995. Words such as "will," "would," "continue," and terms of similar meaning are also generally intended to identify forward-looking statements. Actual results may differ materially from those indicated by such forward-looking statements as a result of various important factors, including, without limitation, the regulatory approval of our product candidates, our ability to market and sell our products, if approved, and other factors discussed in Item 1A of Part II of this Quarterly Report on Form 10-Q. Any forward-looking statements contained herein speak only as of the date hereof, and Xeris expressly disclaims any obligation to update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60"/>
        <w:spacing w:after="0" w:line="277" w:lineRule="auto"/>
        <w:rPr>
          <w:sz w:val="20"/>
          <w:szCs w:val="20"/>
          <w:color w:val="auto"/>
        </w:rPr>
      </w:pPr>
      <w:r>
        <w:rPr>
          <w:rFonts w:ascii="Arial" w:cs="Arial" w:eastAsia="Arial" w:hAnsi="Arial"/>
          <w:sz w:val="18"/>
          <w:szCs w:val="18"/>
          <w:color w:val="auto"/>
        </w:rPr>
        <w:t>Unless otherwise indicated, references to "Xeris," the "Company," "we," "our" and "us" in this Quarterly Report on Form 10-Q refer to Xeris Pharmaceuticals, Inc.</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 specialty pharmaceutical company leveraging our novel technology platforms to develop and commercialize ready-to-use, room temperature stable injectable and infusible drug formulations. Our XeriSol and XeriJect formulation technologies have the potential to offer distinct advantages over existing formulations of marketed and development-stage products, including eliminating the need for reconstitution, enabling long-term, room-temperature stability, significantly reducing injection volume, and eliminating the requirement for intravenous (IV) infusion. These attributes may lead to products that are easier to use by patients, caregivers, and health practitioners and reduce costs for payers and the healthcare system. Our lead product candidate, Glucagon Rescue Pen, delivers ready-to-use glucagon via a commercially-available auto-injector for the treatment of severe hypoglycemia, a potentially life-threatening condition, in people with diabetes. We completed three Phase 3 clinical trials for our Glucagon Rescue Pen and submitted a New Drug Application, or NDA, in the third quarter of 2018 to the U.S. Food &amp; Drug Administration, or the FDA, which was accepted for review in the fourth quarter of 2018. If our NDA is approved in our expected timeframe, we believe we will have the first ready-to-use, room-temperature stable liquid glucagon formulation that can be administered without any preparation or reconstitution. We are also applying our novel ready-to-use, room-temperature stable liquid glucagon formulation for the management of additional conditions associated with hypoglycemia with significant unmet medical need. In addition, we are applying our technology platforms to convert other commercially-available drugs into ready-to-use, room-temperature stable liquid formulations to address the needs in multiple therapeutic areas and conditions, including epilepsy and diabetes.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begun building out our commercial organization, including individuals in operations and marketing as well as medical affairs in preparation for a commercial launch of the Glucagon Rescue Pen in the United States in the second half of 2019. Outside the United States, we plan to pursue development and commercialization partnerships. We currently contract with third parties for the manufacture, assembly, testing, packaging, storage and distribution of our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in 2005, we have devoted substantially all of our resources to research and development initiatives, undertaking preclinical studies of our product candidates, conducting clinical trials of our most advanced product candidates, organizing and staffing our company and raising capital. We do not have any products approved for sale and have not generated any revenue from product sales.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funded our operations to date primarily with proceeds from the sale of preferred and common stock, bank financings and grant awards received from the National Institutes of Health ("NIH") and other philanthropic organizations. In particular, we have received cash proceeds of $104.9 million from sales of our preferred stock, $35.0 million from drawdowns of the Loan and Security Agreement, $10.6 million from grant awards from the NIH and other philanthropic organizations, and $98.4 million from a June 2018 initial public offering ("IPO") of our common stock pursuant to a registration statement on Form S-1, as amended. In the IPO, we sold an aggregate of 6,555,000 shares of our common stock under the registration statement at a public offering price of $15.00 per share, including 855,000 shares of our common stock pursuant to the exercise of the underwriters’ option to purchase additional shares. Net proceeds were approximately $89.0 million, after deducting underwriting discounts and commissions as well as other offering expenses. The Loan and Security Agreement includes an additional $10.0 million that will be available beginning upon approval of our Glucagon Rescue Pen NDA by the FDA until the earlier of September 30, 2019 or the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NDA approval by the FDA.</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jc w:val="both"/>
        <w:ind w:right="20"/>
        <w:spacing w:after="0" w:line="259" w:lineRule="auto"/>
        <w:rPr>
          <w:sz w:val="20"/>
          <w:szCs w:val="20"/>
          <w:color w:val="auto"/>
        </w:rPr>
      </w:pPr>
      <w:r>
        <w:rPr>
          <w:rFonts w:ascii="Arial" w:cs="Arial" w:eastAsia="Arial" w:hAnsi="Arial"/>
          <w:sz w:val="18"/>
          <w:szCs w:val="18"/>
          <w:color w:val="auto"/>
        </w:rPr>
        <w:t>For the three months ended September 30, 2018 and 2017, our net loss was $14.8 million and $7.5 million, respectively. For the nine months ended September 30, 2018 and 2017, our net loss was $39.7 million and $17.4 million, respectively. We have not been profitable since inception, and, as of September 30, 2018, our accumulated deficit was $100.2 million. In the near term, we expect to continue to incur significant expenses, operating losses and net losses as we:</w:t>
      </w:r>
    </w:p>
    <w:p>
      <w:pPr>
        <w:spacing w:after="0" w:line="187"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for a potential commercial launch of our Glucagon Rescue Pen, including hiring our sales force;</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our research and development efforts;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regulatory approval for new product candidates and product enhancements;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and retain additional personnel and add operational, financial and management information systems;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expect to generate significant product revenue unless or until we obtain marketing approval of, and begin to sell, our product candidates. We expect to continue to seek public equity and debt financing to meet our capital requirements. There can be no assurance that such funding may be available to us on acceptable terms, or at all, or that we will be able to commercialize our product candidates. In addition, we may not be profitable even if we commercialize any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Grant income is derived from grants that we received from the NIH and other philanthropic organizations to help bring necessary drugs to the market place where there are currently unmet needs. As of September 30, 2018, we are eligible to receive $2.1 million in grants from the NIH and other philanthropic organizations that will help fund our ongoing clinical development for intermittent and chronic glucagon programs as well as our auto-injectable diazepam program for the treatment of epileptic seizures. These awards will be recognized as grant income when we have performed the services as outlined in the grant agreements.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 revenue is derived from the feasibility studies we perform for third parties to determine whether our XeriSol and XeriJect technologies may enhance the formulation of such parties’ proprietary drugs.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includes employees’ time, materials and overhead applied to the feasibility studies.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We expense research and development costs as incurred. Research and development costs that are paid in advance of performance are capitalized until services are provided or goods are delivered. Research and development expenses include:</w:t>
      </w:r>
    </w:p>
    <w:p>
      <w:pPr>
        <w:spacing w:after="0" w:line="181" w:lineRule="exact"/>
        <w:rPr>
          <w:sz w:val="20"/>
          <w:szCs w:val="20"/>
          <w:color w:val="auto"/>
        </w:rPr>
      </w:pPr>
    </w:p>
    <w:p>
      <w:pPr>
        <w:ind w:left="660" w:hanging="652"/>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investigative sites and consultants that conduct our preclinical studies and clinical trials;</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expenses for facility-related costs.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activities are central to our business model. We expect research and development expenses to increase in the near term as we (i) complete clinical development of our Glucagon Rescue Pen; (ii) progress our intermittent and chronic glucagon programs for Post-Bariatric Hypoglycemia, Congenital Hyperinsulinism, Hypoglycemia-Associated Autonomic Failure and Exercise-Induced Hypoglycemia; (iii) initiate clinical development for our ready-to-use diazepam rescue pen; and (iv) conduct additional preclinical work for our Pramlintide-Insulin program. Our research and development expenses may vary significantly over time due to uncertainties relating to the terms and timing of regulatory approvals and unexpected results of our clinical trials. We expect our research and development expenses to increase as we conduct new clinical trials and prepare regulatory filings for our product candidates and add headcount to support these efforts.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consist principally of salaries, stock-based compensation and related costs for personnel in executive, marketing and administrative positions, facility costs not otherwise included in research and development, marketing expenses, professional fees for legal, audit and accounting services, fees paid for market research and trade shows, and travel costs for marketing and administrative employees.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reporting company, we have incurred greater expenses, including increased payroll, legal and compliance, accounting, insurance and investor relations costs. We expect some of these costs to continue to increase in conjunction with our anticipated growth as a public reporting company. We also expect selling and marketing costs to increase significantly as we prepare for the expected commercial launch of our Glucagon Rescue Pen in the United States, if approved, including the build out of a sales force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consists primarily of interest expense related to our Loan and Security Agreement, interest income earned on short-term deposits and investments, and the change in the fair market value of our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and nine months ended September 30, 2018 and 2017:</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Increase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13"/>
        </w:trPr>
        <w:tc>
          <w:tcPr>
            <w:tcW w:w="28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6"/>
              </w:rPr>
              <w:t>(Decrease)</w:t>
            </w:r>
          </w:p>
        </w:tc>
        <w:tc>
          <w:tcPr>
            <w:tcW w:w="280" w:type="dxa"/>
            <w:vAlign w:val="bottom"/>
          </w:tcPr>
          <w:p>
            <w:pPr>
              <w:spacing w:after="0"/>
              <w:rPr>
                <w:sz w:val="9"/>
                <w:szCs w:val="9"/>
                <w:color w:val="auto"/>
              </w:rPr>
            </w:pPr>
          </w:p>
        </w:tc>
        <w:tc>
          <w:tcPr>
            <w:tcW w:w="9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5"/>
              </w:rPr>
              <w:t>(Decrease)</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840" w:type="dxa"/>
            <w:vAlign w:val="bottom"/>
          </w:tcPr>
          <w:p>
            <w:pPr>
              <w:spacing w:after="0"/>
              <w:rPr>
                <w:sz w:val="20"/>
                <w:szCs w:val="20"/>
                <w:color w:val="auto"/>
              </w:rPr>
            </w:pPr>
            <w:r>
              <w:rPr>
                <w:rFonts w:ascii="Arial" w:cs="Arial" w:eastAsia="Arial" w:hAnsi="Arial"/>
                <w:sz w:val="18"/>
                <w:szCs w:val="18"/>
                <w:color w:val="auto"/>
              </w:rPr>
              <w:t>Grant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Service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10,875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13,588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14,676</w:t>
            </w: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220"/>
              <w:spacing w:after="0"/>
              <w:rPr>
                <w:sz w:val="20"/>
                <w:szCs w:val="20"/>
                <w:color w:val="auto"/>
              </w:rPr>
            </w:pPr>
            <w:r>
              <w:rPr>
                <w:rFonts w:ascii="Arial" w:cs="Arial" w:eastAsia="Arial" w:hAnsi="Arial"/>
                <w:sz w:val="18"/>
                <w:szCs w:val="18"/>
                <w:color w:val="auto"/>
              </w:rPr>
              <w:t>Expense from operations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7,783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22,147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tcPr>
          <w:p>
            <w:pPr>
              <w:ind w:left="40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(14,943)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(21,610)</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0"/>
        </w:trPr>
        <w:tc>
          <w:tcPr>
            <w:tcW w:w="28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56"/>
        </w:trPr>
        <w:tc>
          <w:tcPr>
            <w:tcW w:w="2840" w:type="dxa"/>
            <w:vAlign w:val="bottom"/>
          </w:tcPr>
          <w:p>
            <w:pPr>
              <w:ind w:left="220"/>
              <w:spacing w:after="0"/>
              <w:rPr>
                <w:sz w:val="20"/>
                <w:szCs w:val="20"/>
                <w:color w:val="auto"/>
              </w:rPr>
            </w:pPr>
            <w:r>
              <w:rPr>
                <w:rFonts w:ascii="Arial" w:cs="Arial" w:eastAsia="Arial" w:hAnsi="Arial"/>
                <w:sz w:val="18"/>
                <w:szCs w:val="18"/>
                <w:color w:val="auto"/>
              </w:rPr>
              <w:t>Change in fair value of</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400"/>
              <w:spacing w:after="0"/>
              <w:rPr>
                <w:sz w:val="20"/>
                <w:szCs w:val="20"/>
                <w:color w:val="auto"/>
              </w:rPr>
            </w:pPr>
            <w:r>
              <w:rPr>
                <w:rFonts w:ascii="Arial" w:cs="Arial" w:eastAsia="Arial" w:hAnsi="Arial"/>
                <w:sz w:val="18"/>
                <w:szCs w:val="18"/>
                <w:color w:val="auto"/>
              </w:rPr>
              <w:t>warrants</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840" w:type="dxa"/>
            <w:vAlign w:val="bottom"/>
            <w:vMerge w:val="restart"/>
          </w:tcPr>
          <w:p>
            <w:pPr>
              <w:ind w:left="360"/>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500"/>
              <w:spacing w:after="0"/>
              <w:rPr>
                <w:sz w:val="20"/>
                <w:szCs w:val="20"/>
                <w:color w:val="auto"/>
              </w:rPr>
            </w:pPr>
            <w:r>
              <w:rPr>
                <w:rFonts w:ascii="Arial" w:cs="Arial" w:eastAsia="Arial" w:hAnsi="Arial"/>
                <w:sz w:val="18"/>
                <w:szCs w:val="18"/>
                <w:color w:val="auto"/>
              </w:rPr>
              <w:t>(expense)</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(14,767)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(39,661)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(17,408)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(22,253)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increased for the three and nine month periods ended September 30, 2018 in comparison with the three and nine month periods ended September 30, 2017 due to increased grant-funded activities performed during the current periods.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research and development expenses by functional area for the three and nine months ended September 30, 2018 and 2017:</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6020" w:type="dxa"/>
            <w:vAlign w:val="bottom"/>
          </w:tcPr>
          <w:p>
            <w:pPr>
              <w:spacing w:after="0"/>
              <w:rPr>
                <w:sz w:val="20"/>
                <w:szCs w:val="20"/>
                <w:color w:val="auto"/>
              </w:rPr>
            </w:pPr>
            <w:r>
              <w:rPr>
                <w:rFonts w:ascii="Arial" w:cs="Arial" w:eastAsia="Arial" w:hAnsi="Arial"/>
                <w:sz w:val="18"/>
                <w:szCs w:val="18"/>
                <w:color w:val="auto"/>
              </w:rPr>
              <w:t>Clinical and preclinical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2,766</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8,795</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5,417</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Product development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5,667</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Compensation and related personnel costs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2,458</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13,588</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by program for the three and nine months ended September 30, 2018 and 2017:</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58"/>
        </w:trPr>
        <w:tc>
          <w:tcPr>
            <w:tcW w:w="6020" w:type="dxa"/>
            <w:vAlign w:val="bottom"/>
          </w:tcPr>
          <w:p>
            <w:pPr>
              <w:spacing w:after="0"/>
              <w:rPr>
                <w:sz w:val="20"/>
                <w:szCs w:val="20"/>
                <w:color w:val="auto"/>
              </w:rPr>
            </w:pPr>
            <w:r>
              <w:rPr>
                <w:rFonts w:ascii="Arial" w:cs="Arial" w:eastAsia="Arial" w:hAnsi="Arial"/>
                <w:sz w:val="18"/>
                <w:szCs w:val="18"/>
                <w:color w:val="auto"/>
              </w:rPr>
              <w:t>Glucagon Rescue Pen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5,866</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14,898</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7,268</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Intermittent and chronic glucagon programs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2,740</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Additional pipeline programs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Overhead (personnel, facilities and other expenses)</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3,580</w:t>
            </w:r>
          </w:p>
        </w:tc>
      </w:tr>
      <w:tr>
        <w:trPr>
          <w:trHeight w:val="27"/>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13,588</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$5.2 million for the three months ended September 30, 2018 in comparison to the three months ended September 30, 2017. These increases were primarily driven by increased product development expenses of $3.5 million in support of our Glucagon Rescue Pen NDA filing and additional pipeline programs and increased personnel expenses of $1.6 million due to additional headcount and other employee-related costs.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$14.7 million for the nine months ended September 30, 2018 in comparison to the nine months ended September 30, 2017. These increases were primarily driven by increased product development expenses of $7.5 million in support of our Glucagon Rescue Pen NDA filing and additional pipeline programs, increased personnel expenses of $3.8 million due to additional headcount and other employee-related costs and increased expenses of $3.4 million associated with our clinical and preclinical trials.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increased $2.6 million for the three months ended September 30, 2018 in comparison to the three months ended September 30, 2017. These increases were primarily driven by increases in personnel expenses due to additional headcount and other employee related costs of $2.0 million as well as marketing and market research expenses of $0.6 million.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costs increased $7.5 million for the nine months ended September 30, 2018 in comparison to the nine months ended September 30, 2017. These increases were primarily driven by increases in personnel expenses due to additional headcount and other employee related costs of $4.9 million, marketing and market research expenses of $1.9 million, and professional consulting fees of $0.7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and nine months ended September 30, 2018, interest expense related to our debt issuances in 2018 was $0.7 million and $1.5 million, respectively. Interest income earned on short-term investments and interest bearing accounts for the three and nine months ended September 30, 2018 was $0.5 million and $0.8 million, respectively. In addition, the fair market value of our warrants decreased for the three and nine months ended September 30, 2018 in comparison to the three and nine months ended September 30, 2017 by $451,000 and $95,000, respectively. The change in fair value of warrants decreases as the fair value of the stock that it converts into decreased over the respective periods.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primary uses of cash are to fund product development costs, operating expenses and working capital requirements. Historically, we have funded our operations primarily through private placements of convertible preferred stock, issuance of debt, and grants awarded from the NIH and other philanthropic organizations. On June 25, 2018, we completed our IPO of 6,555,000 shares of our common stock at a price of $15.00 per share for aggregate gross proceeds of approximately $98.3 million, including 855,000 shares of our common stock pursuant to the exercise of the underwriters’ option to purchase additional shares. We received aggregate net proceeds from the offering of approximately $89.0 million, after deducting underwriting discounts and commissions as well as other offering expenses. As of September 30, 2018, we have $2.1 million in awarded unused grants that can be utilized to offset program costs for several of our intermittent and chronic glucagon programs as well as our diazepam program, in accordance with the grant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 and Funding Requirements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incurred operating losses since inception, and we have an accumulated deficit of $100.2 million at September 30, 2018. We believe that our cash, cash equivalents and short-term investments together with the available proceeds from our credit facilities will enable us to sustain operations and capital expenditure requirements through at least the first quarter of 2021. We expect to incur substantial additional expenditures in the near term to support our ongoing activities and the expected commercial launch of our Glucagon Rescue Pen. Additionally, we expect to incur additional costs as a result of operating as a public company. We expect to continue to incur net losses for the next several years. Our ability to fund our product development and clinical operations, including completion of our planned Phase 2 and Phase 3 clinical trials, as well as commercialization of our product candidates will depend on the amount and timing of cash received from planned financings. Our future capital requirements will depend on many factors, including:</w:t>
      </w:r>
    </w:p>
    <w:p>
      <w:pPr>
        <w:spacing w:after="0" w:line="167"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Glucagon Rescue Pen;</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timing and outcomes of clinical trials and regulatory reviews associated with our product candidates;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and maintaining, enforcing and defending intellectual property-related claims;</w:t>
      </w:r>
    </w:p>
    <w:p>
      <w:pPr>
        <w:spacing w:after="0" w:line="20" w:lineRule="exact"/>
        <w:rPr>
          <w:rFonts w:ascii="Arial" w:cs="Arial" w:eastAsia="Arial" w:hAnsi="Arial"/>
          <w:sz w:val="17"/>
          <w:szCs w:val="17"/>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adverse marketing developments;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 on our product development activities of actions taken by the FDA or other regulatory authorities;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degree of success in commercializing Glucagon Rescue Pen, if approved; and</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and types of future products we develop and commercialize.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Until we obtain regulatory approval to market our product candidates, if ever, we cannot generate revenues from sales of our products. Even if we are able to sell our products, we may not generate a sufficient amount of product revenues to finance our cash requirements. Accordingly, we may need to obtain additional financing in the future which may include public or private debt and equity financings. There can be no assurance that such funding may be available to us on acceptable terms, or at all, or that we will be able to successfully commercialize our product candidates. The issuance of equity securities may result in dilution to stockholders. If we raise additional funds through the issuance of debt securities, these securities may have rights, preferences and privileges senior to those of our common stock and the terms of the debt securities could impose significant restrictions on our operations. The failure to raise funds as and when needed could have a negative impact on our financial condition and ability to pursue our business strategies. If additional funding is not secured when required, we may need to delay or curtail our operations until such funding is received, which would have a material adverse impact on our business prospects and results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0"/>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58"/>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(37,944)</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(15,563)</w:t>
            </w: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128,182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29,672</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13,645</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cash used in operating activities for the nine month period ended September 30, 2018 was primarily due to our net loss adjusted for non-cash charges primarily driven by increased spending in research and development and general and administrative operating expenses. For a discussion regarding the increase in spending, refer to "Results of Operations" included in Item 2, "Management’s Discussion and Analysis of Financial Condition and Results of Operations."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The increase in cash used by investing activities for the nine month period ended September 30, 2018 was primarily due to purchases of short-term investments with a portion of the net proceeds from the IPO.</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cash provided by financing activities for the nine month period ended September 30, 2018 was primarily due to the net proceeds from the IPO of approximately $89.0 million after deducting payments for IPO costs, net proceeds from the Loan and Security Agreement of $34.7 million and net proceeds from the sale of Series C Preferred Stock of $4.4 million, partially offset by net proceeds from the sale of Series C Preferred Stock of $30.0 million in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were obligated to pay the following amounts: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 and</w:t>
            </w:r>
          </w:p>
        </w:tc>
      </w:tr>
      <w:tr>
        <w:trPr>
          <w:trHeight w:val="234"/>
        </w:trPr>
        <w:tc>
          <w:tcPr>
            <w:tcW w:w="40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w:t>
            </w: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2019-2020</w:t>
            </w:r>
          </w:p>
        </w:tc>
        <w:tc>
          <w:tcPr>
            <w:tcW w:w="3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2021-2023</w:t>
            </w:r>
          </w:p>
        </w:tc>
        <w:tc>
          <w:tcPr>
            <w:tcW w:w="3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Beyond</w:t>
            </w:r>
          </w:p>
        </w:tc>
      </w:tr>
      <w:tr>
        <w:trPr>
          <w:trHeight w:val="27"/>
        </w:trPr>
        <w:tc>
          <w:tcPr>
            <w:tcW w:w="4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58"/>
        </w:trPr>
        <w:tc>
          <w:tcPr>
            <w:tcW w:w="4080" w:type="dxa"/>
            <w:vAlign w:val="bottom"/>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6,225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56"/>
        </w:trPr>
        <w:tc>
          <w:tcPr>
            <w:tcW w:w="4080" w:type="dxa"/>
            <w:vAlign w:val="bottom"/>
          </w:tcPr>
          <w:p>
            <w:pPr>
              <w:spacing w:after="0"/>
              <w:rPr>
                <w:sz w:val="20"/>
                <w:szCs w:val="20"/>
                <w:color w:val="auto"/>
              </w:rPr>
            </w:pPr>
            <w:r>
              <w:rPr>
                <w:rFonts w:ascii="Arial" w:cs="Arial" w:eastAsia="Arial" w:hAnsi="Arial"/>
                <w:sz w:val="18"/>
                <w:szCs w:val="18"/>
                <w:color w:val="auto"/>
              </w:rPr>
              <w:t>Future principal payments under</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Loan and Security Agreement</w:t>
            </w:r>
          </w:p>
        </w:tc>
        <w:tc>
          <w:tcPr>
            <w:tcW w:w="3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9,000</w:t>
            </w:r>
          </w:p>
        </w:tc>
        <w:tc>
          <w:tcPr>
            <w:tcW w:w="30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26,000</w:t>
            </w:r>
          </w:p>
        </w:tc>
        <w:tc>
          <w:tcPr>
            <w:tcW w:w="3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manufacturing organizations and vendors for preclinical studies, research supplies and other services and products for operating purposes. These contracts generally provide for termination after a notice period, and, therefore, are cancellable contracts and not included in the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had unused letters of credit of $143,000 that are used to secure leases.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on our financial statements have been prepared in accordance with generally accepted accounting principles, or GAAP, in the United States. The preparation of these financial statements requires us to make estimates that affect the reported amounts of assets and liabilities and the disclosure of contingent assets and liabilities at the date of the financial statements as well as the reported revenues and expenses during the reporting periods. On an ongoing basis, we evaluate our estimates and judgments, including those related to clinical trial expenses and stock-based compensation. We base our estimates on historical experience and on various other factors we believe to be appropriate under the circumstances. Actual results may differ from these estimates under different assumptions or conditions.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described in Note 2, "Summary of Significant Accounting Policies," in the notes to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Refer to Note 2, "Summary of Significant Accounting Policies," of the notes to unaudited condensed financial statements, for a description of recent accounting pronouncements applicable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related to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Cash and Cash Equivalents and Short-Term Investments</w:t>
      </w:r>
      <w:r>
        <w:rPr>
          <w:rFonts w:ascii="Arial" w:cs="Arial" w:eastAsia="Arial" w:hAnsi="Arial"/>
          <w:sz w:val="17"/>
          <w:szCs w:val="17"/>
          <w:color w:val="auto"/>
        </w:rPr>
        <w:t>—We are exposed to the risk of interest rate fluctuations on the interest income earned on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and cash equivalents and short-term investments. A hypothetical one-percentage point increase or decrease in interest rates applicable to our cash and cash equivalents and short-term investments outstanding at September 30, 2018 would increase or decrease interest income by approximately $1.3 million on an annual basis. Any changes to interest income on short-term investments would only be realized if sold prior to maturity.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Loan and Security Agreement</w:t>
      </w:r>
      <w:r>
        <w:rPr>
          <w:rFonts w:ascii="Arial" w:cs="Arial" w:eastAsia="Arial" w:hAnsi="Arial"/>
          <w:sz w:val="18"/>
          <w:szCs w:val="18"/>
          <w:color w:val="auto"/>
        </w:rPr>
        <w:t>—Our interest rate risk relates primarily to U.S. dollar LIBOR-indexed borrowings. Based on our outstanding borrowings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a one-percentage point increase or decrease in interest rates would affect interest expense on the debt by $0.3 million on an annualized basis.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("Exchange Act"). Based upon their evaluation of these disclosure controls and procedures, the principal executive officer and principal financial officer concluded that the disclosure controls and procedures were effective as of September 30, 2018 to ensure that information required to be disclosed by the Company in the reports it files or submits under the Exchange Act is recorded, processed, summarized and reported within the time period specified in the U.S. Securities and Exchange Commission's ("SEC") rules and forms, and to ensure that information required to be disclosed by the Company in the reports it files or submits under the Exchange Act is accumulated and communicated to the Company’s management, including its principal executive and principal financial officers, as appropriate, to allow timely decisions regarding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September 30, 2018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currently subject to any material legal proceedings. From time to time, we may be subject to various legal proceedings and claims that arise in the ordinary course of our business activities.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Financing</w:t>
      </w:r>
    </w:p>
    <w:p>
      <w:pPr>
        <w:spacing w:after="0" w:line="22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As a company, we have a limited operating history and no history of commercializing pharmaceutical products and have incurred significant losses since inception. We expect to incur losses over the next several years and may not be able to achieve or sustain revenues or profitability in the future.</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 clinical-stage pharmaceutical company with a limited operating history. Pharmaceutical product development is a highly speculative undertaking and involves a substantial degree of risk. We have not generated any product revenues and have financed our operations primarily through private placements of our preferred stock, borrowings under the Loan and Security Agreement that we entered into with Oxford Finance LLC and Silicon Valley Bank, and our initial public offering in June 2018, or our IPO. We do not expect to generate any product revenues unless one or more of our product candidates receives regulatory approval and is commercialized. We have not yet demonstrated an ability to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prior to regulatory approval of any product candidates, especially pharmaceutical companies such as ours. Any predictions you make about our future success or viability may not be as accurate as they could be if we had a longer operating history or a history of successfully commercializing pharmaceutical products. We may encounter unforeseen expenses, difficulties, complications, delays and other known or unknown factors in achieving our business objectives. We will need to transition from a company with a development focus to a company capable of supporting commercial activities. We may not be successful in such a transition.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incurred significant losses in every fiscal year since inception. For the three months ended September 30, 2018 and 2017, we reported a net loss of $14.8 million and $7.5 million, respectively. For the nine months ended September 30, 2018 and 2017, we reported a net loss of $39.7 million and $17.4 million, respectively. In addition, our accumulated deficit as of September 30, 2018 was $100.2</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million. Substantially all our operating losses have resulted from costs incurred in connection with research and development of our product candidates and clinical and regulatory initiatives to obtain approvals for our product candidates.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our operating expenses will continue to increase as we continue to build our commercial infrastructure, develop, enhance and commercialize new products and incur additional operational and reporting costs associated with being a public company. In particular, we anticipate that our expenses will increase substantially as we:</w:t>
      </w:r>
    </w:p>
    <w:p>
      <w:pPr>
        <w:spacing w:after="0" w:line="127" w:lineRule="exact"/>
        <w:rPr>
          <w:sz w:val="20"/>
          <w:szCs w:val="20"/>
          <w:color w:val="auto"/>
        </w:rPr>
      </w:pPr>
    </w:p>
    <w:p>
      <w:pPr>
        <w:ind w:left="660" w:hanging="31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research and development efforts;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for new product candidates and product enhancements;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commercial infrastructure to support sales and marketing for our product candidates;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and retain additional personnel and add operational, financial and management information systems; and</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our product candidates are still in development and none have been approved for sale. We submitted a New Drug Application, or NDA, for our Glucagon Rescue Pen in the third quarter of 2018 to the U.S. Food and Drug Administration, or FDA, that was accepted for review in the fourth quarter of 2018. However, there is no guarantee that the FDA will approve our Glucagon Rescue Pen. Our ability to generate revenue from our product candidates and to transition to profitability and generate positive cash flows is uncertain and depends on the successful development and commercialization of our product candidates. Successful development and commercialization will require achievement of key milestones, including completing clinical trials of our product candidates that are under clinical development, obtaining marketing approval for our product candidates, manufacturing, marketing and selling those products for which we, or any of our future collaborators, may obtain marketing approval, satisfying any post-marketing requirements and obtaining reimbursement for our products from private insurance or government payors. Because of the uncertainties and risks associated with these activities, we are unable to accurately predict the timing and amount of revenues, and if or when we might achieve profitability. We and any future collaborators may never succeed in these activities and, even if we or any future collaborators do, we may never generate revenues that are large enough for us to achieve profitability. Even if we do achieve profitability, we may not be able to sustain or increase profitability on a quarterly or annual basis.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become and remain profitable would depress the market price of our common stock and could impair our ability to raise capital, expand our business, diversify our product offerings or continue our operations. If we continue to suffer losses as we have in the past, investors may not receive any return on their investment and may lose their entire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including our Glucagon Rescue Pen, and may never be profitable.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We do not expect to generate significant revenue unless or until we obtain marketing approval of, and begin to sell, our product candidates. We do not expect to commercialize any of our product candidates before 2019, if ever. Our ability to generate revenue depends on a number of factors, including, but not limited to, our ability to:</w:t>
      </w:r>
    </w:p>
    <w:p>
      <w:pPr>
        <w:spacing w:after="0" w:line="133" w:lineRule="exact"/>
        <w:rPr>
          <w:sz w:val="20"/>
          <w:szCs w:val="20"/>
          <w:color w:val="auto"/>
        </w:rPr>
      </w:pPr>
    </w:p>
    <w:p>
      <w:pPr>
        <w:ind w:left="680" w:hanging="31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marketing approval for our product candidates, including our Glucagon Rescue Pen;</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commercial quantities of our product candidates, if approved, at acceptable cost levels;</w:t>
      </w:r>
    </w:p>
    <w:p>
      <w:pPr>
        <w:spacing w:after="0" w:line="63" w:lineRule="exact"/>
        <w:rPr>
          <w:rFonts w:ascii="Arial" w:cs="Arial" w:eastAsia="Arial" w:hAnsi="Arial"/>
          <w:sz w:val="18"/>
          <w:szCs w:val="18"/>
          <w:color w:val="auto"/>
        </w:rPr>
      </w:pPr>
    </w:p>
    <w:p>
      <w:pPr>
        <w:ind w:left="680" w:right="1720" w:hanging="318"/>
        <w:spacing w:after="0" w:line="29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commercialize our product candidates, if approved, by developing our own sales force for commercialization in the United States or in other key territories by entering into partnership or co-promotion arrangements with third parties;</w:t>
      </w:r>
    </w:p>
    <w:p>
      <w:pPr>
        <w:ind w:left="680" w:hanging="31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set an acceptable price for our product candidates, if approved;</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and maintain third-party coverage and adequate reimbursement for our product candidates, if approved; and</w:t>
      </w:r>
    </w:p>
    <w:p>
      <w:pPr>
        <w:spacing w:after="0" w:line="63" w:lineRule="exact"/>
        <w:rPr>
          <w:rFonts w:ascii="Arial" w:cs="Arial" w:eastAsia="Arial" w:hAnsi="Arial"/>
          <w:sz w:val="18"/>
          <w:szCs w:val="18"/>
          <w:color w:val="auto"/>
        </w:rPr>
      </w:pPr>
    </w:p>
    <w:p>
      <w:pPr>
        <w:jc w:val="both"/>
        <w:ind w:left="680" w:right="1720" w:hanging="318"/>
        <w:spacing w:after="0" w:line="26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an adequate level of market acceptance of our product candidates, if approved, in the medical community and with third-party payors, including placement in accepted clinical guidelines for the conditions for which our product candidates are intended to target.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product candidates are approved for commercial sale, we expect to incur significant sales and marketing costs as we prepare for its commercialization. Even if we receive marketing approval and expend these costs, our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b w:val="1"/>
          <w:bCs w:val="1"/>
          <w:i w:val="1"/>
          <w:iCs w:val="1"/>
          <w:color w:val="auto"/>
        </w:rPr>
        <w:t>We may require additional capital to sustain our business, and this capital may cause dilution to our stockholders and might not be available on terms favorable to us, or at all, which would force us to delay, reduce or eliminate our product development programs or commercialization efforts.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Pharmaceutical development is a time-consuming, expensive and uncertain process that takes years to complete. In addition, if any of our product candidates are approved, we expect to incur significant commercialization expenses related to product sales, marketing, manufacturing and distribution. Accordingly, we may need to obtain substantial additional funding in connection with our continuing operations. If we are unable to raise capital when needed or on attractive terms, we may be forced to delay, reduce or eliminate our research and development programs. We plan to use our current cash resources to support the expected commercial launch of our Glucagon Rescue Pen, including investments in sales and marketing, inventory and our commercial and medical affairs infrastructure, to advance our other pipeline product candidates and for working capital and other general corporate purposes. We will be required to expend significant funds in order to commercialize our Glucagon Rescue Pen, as well as any of our other product candidates that receive marketing approval. Our current cash resources may not be sufficient to fund all of the efforts that we plan to undertake.</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may be required to obtain further funding through public equity offerings, debt financings, royalty-based financing arrangements, collaborations and licensing arrangements or other sources.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obtained by us would be senior to our common stock, would likely cause us to incur interest expenses, and could involve restrictive covenants relating to our capital raising activities and other financial and operational matters, which may increase our expenses and make it more difficult for us to obtain additional capital and to pursue business opportunities, including potential acquisitions and in-licensing opportunities. We may also be required to secure any such debt obligations with some or all of our assets. For example, our Loan and Security Agreement is secured by substantially all of our existing property and assets other than our intellectual property assets, subject to certain exceptions. Our Loan and Security Agreement also contains a negative pledge on intellectual property owned by us, pursuant to which we have agreed not to encumber any of our intellectual property.</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raise additional funds through collaborations or marketing, distribution or licensing, or royalty-based financing arrangements with third parties, we may have to relinquish valuable rights to our technologies, future revenue streams or product candidates or grant licenses on terms that may not be favorable to us. Securing financing could require a substantial amount of time and attention from our management and may divert a disproportionate amount of their attention away from day-to-day activities, which may adversely affect our management’s ability to oversee the development and commercialization, if approved, of our product candidates. It is also possible that we may allocate significant amounts of capital toward solutions or technologies for which market demand is lower than anticipated and, as a result, abandon such efforts. Adequate additional financing may not be available to us on acceptable terms, or at all. If we are unable to raise additional funds when needed, we may be required to delay, limit, reduce or terminate our product development or grant rights to develop and market product candidates that we would otherwise prefer to develop and market ourselves. Any of these negative developments could have a material adverse effect on our business, operating results, financial condition and common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an amount sufficient to enable us to make interest or principal payments on our indebtedness when due.</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Loan and Security Agreement provides for term loans of up to an aggregate of $45.0 million, of which $20.0 million was borrowed upon signing. Upon our submission of an NDA for our Glucagon Rescue Pen, we became eligible to draw down an additional $15.0 million within 30 days thereof and drew down on this tranche on September 7, 2018. We become eligible to draw the remaining $10.0 million if we receive approval of our Glucagon Rescue Pen NDA by the FDA, before September 30, 2019, and then only available to be drawn until the earlier of September 30, 2019 or the 30th day following NDA approval by the FDA.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our Loan and Security Agreement are secured by substantially all of our existing property and assets other than our intellectual property assets, subject to certain exceptions. This debt financing may create additional financial risk for us, particularly if our business or prevailing financial market conditions are not conducive to paying off or refinancing our outstanding debt obligations at maturity.</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Failure to satisfy our current and future debt obligations under our Loan and Security Agreement could result in an event of default and, as a result, our lenders could accelerate all of the amounts due. Events of default include our failure to comply with customary affirmative covenants as well as our breach of customary negative covenants in the Loan and Security Agreement. Affirmative covenants include the maintenance of a $5.0 million minimum cash balance in the event that we maintain one or more permitted accounts at other institutions. Negative covenants include prohibition on the payment of dividends and distributions, certain mergers and change of control events, and the occurrence of material adverse changes in the company’s business or its prospect of repayment of its obligations. In the event of an acceleration of amounts due under our Loan and Security Agreement as a result of an event of default, we may not have sufficient funds or may be unable to arrange for additional financing to repay our indebtedness while still pursuing our current business strategy. In addition, our lenders could seek to enforce their security interests in any collateral securing such indebtedness.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b w:val="1"/>
          <w:bCs w:val="1"/>
          <w:color w:val="auto"/>
        </w:rPr>
        <w:t>Risks Related to the Product Development and Regulatory Approval of Our Product Candidates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are dependent on the success of our glucagon product candidates, particularly our Glucagon Rescue Pen. Even though the Glucagon Rescue Pen NDA is accepted for filing by the FDA, we cannot be certain that our Glucagon Rescue Pen or any of our other product candidates will receive marketing approval. Without marketing approval, we will not be able to commercialize our product candidates or generate product revenues.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devoted a significant portion of our financial resources and business efforts to the development of the Glucagon Rescue Pen. We submitted an NDA for the Glucagon Rescue Pen in the third quarter of 2018, however, we have not received approval from regulatory authorities to market the Glucagon Rescue Pen or any other product candidate in any jurisdiction, and it is possible that neither our Glucagon Rescue Pen nor any other product candidates we may seek to develop in the future will ever obtain the appropriate regulatory approvals necessary for us to commence product sales. Even though the FDA has accepted for review our NDA filing, we cannot be certain that our Glucagon Rescue Pen or any of our other product candidates will receive marketing approval.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of a product candidate and issues relating to its approval and marketing are subject to extensive regulation by the FDA in the United States and by comparable regulatory authorities in other countries. We are not permitted to market our product candidates in the United States until we receive approval of an NDA from the FDA. 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NDAs must include extensive preclinical and clinical data and supporting information to establish the product candidate’s safety and effectiveness for each desired indication. NDAs must also include significant information regarding the chemistry, manufacturing and controls for the product. Obtaining approval of an NDA is a lengthy, expensive and uncertain process, and we may not be successful in obtaining approval. Our Glucagon Rescue Pen is considered to be a drug-device combination product by the FDA, and its NDA will require review and coordination by the FDA’s drug and device centers prior to approval. We cannot predict whether we will obtain regulatory approval to commercialize our Glucagon Rescue Pen or any of our other product candidates, and we cannot, therefore, predict the timing of any future revenues from these product candidates, if any. Any delay or setback in the regulatory approval or commercialization of any of these product candidates will adversely affect our business.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substantial discretion in the drug approval process, including the ability to delay, limit or deny approval of a product candidate for many reasons. For example, the FDA:</w:t>
      </w:r>
    </w:p>
    <w:p>
      <w:pPr>
        <w:spacing w:after="0" w:line="116" w:lineRule="exact"/>
        <w:rPr>
          <w:sz w:val="20"/>
          <w:szCs w:val="20"/>
          <w:color w:val="auto"/>
        </w:rPr>
      </w:pPr>
    </w:p>
    <w:p>
      <w:pPr>
        <w:ind w:left="680" w:hanging="31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determine that we cannot rely on the Section 505(b)(2) regulatory pathway for our product candidates;</w:t>
      </w:r>
    </w:p>
    <w:p>
      <w:pPr>
        <w:spacing w:after="0" w:line="63" w:lineRule="exact"/>
        <w:rPr>
          <w:rFonts w:ascii="Arial" w:cs="Arial" w:eastAsia="Arial" w:hAnsi="Arial"/>
          <w:sz w:val="18"/>
          <w:szCs w:val="18"/>
          <w:color w:val="auto"/>
        </w:rPr>
      </w:pPr>
    </w:p>
    <w:p>
      <w:pPr>
        <w:ind w:left="680" w:right="1720" w:hanging="318"/>
        <w:spacing w:after="0" w:line="317" w:lineRule="auto"/>
        <w:tabs>
          <w:tab w:leader="none" w:pos="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could determine that the information provided by us was inadequate, contained clinical deficiencies or otherwise failed to demonstrate the safety and effectiveness of our Glucagon Rescue Pen or any of our product candidates for any indication;</w:t>
      </w:r>
    </w:p>
    <w:p>
      <w:pPr>
        <w:jc w:val="both"/>
        <w:ind w:left="680" w:right="1720" w:hanging="318"/>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not find the data from bioequivalence studies and/or clinical trials sufficient to support the submission of an NDA or to obtain marketing approval in the United States, including any findings that the clinical and other benefits of our product candidates outweigh their safety risks;</w:t>
      </w:r>
    </w:p>
    <w:p>
      <w:pPr>
        <w:spacing w:after="0" w:line="19" w:lineRule="exact"/>
        <w:rPr>
          <w:rFonts w:ascii="Arial" w:cs="Arial" w:eastAsia="Arial" w:hAnsi="Arial"/>
          <w:sz w:val="18"/>
          <w:szCs w:val="18"/>
          <w:color w:val="auto"/>
        </w:rPr>
      </w:pPr>
    </w:p>
    <w:p>
      <w:pPr>
        <w:jc w:val="both"/>
        <w:ind w:left="680" w:right="1720" w:hanging="318"/>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disagree with our trial design or our interpretation of data from preclinical studies, bioequivalence studies and/or clinical trials, or may change the requirements for approval even after it has reviewed and commented on the design for our trials;</w:t>
      </w:r>
    </w:p>
    <w:p>
      <w:pPr>
        <w:spacing w:after="0" w:line="19" w:lineRule="exact"/>
        <w:rPr>
          <w:rFonts w:ascii="Arial" w:cs="Arial" w:eastAsia="Arial" w:hAnsi="Arial"/>
          <w:sz w:val="18"/>
          <w:szCs w:val="18"/>
          <w:color w:val="auto"/>
        </w:rPr>
      </w:pPr>
    </w:p>
    <w:p>
      <w:pPr>
        <w:jc w:val="both"/>
        <w:ind w:left="680" w:right="1720" w:hanging="318"/>
        <w:spacing w:after="0" w:line="264"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determine that there are unacceptable risks associated with the device component of our Glucagon Rescue Pen or that there are deficiencies with the information submitted to demonstrate the safety, effectiveness and reliability of the device component;</w:t>
      </w:r>
    </w:p>
    <w:p>
      <w:pPr>
        <w:spacing w:after="0" w:line="19" w:lineRule="exact"/>
        <w:rPr>
          <w:rFonts w:ascii="Arial" w:cs="Arial" w:eastAsia="Arial" w:hAnsi="Arial"/>
          <w:sz w:val="18"/>
          <w:szCs w:val="18"/>
          <w:color w:val="auto"/>
        </w:rPr>
      </w:pPr>
    </w:p>
    <w:p>
      <w:pPr>
        <w:jc w:val="both"/>
        <w:ind w:left="680" w:right="1720" w:hanging="318"/>
        <w:spacing w:after="0" w:line="259"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determine that we have identified the wrong listed drug or drugs or that approval of our Section 505(b)(2) application for our Glucagon Rescue Pen or any of our other product candidates is blocked by patent or non-patent exclusivity of the listed drug or drugs or of other previously-approved drugs with the same conditions of approval as those of our Glucagon Rescue Pen or any of our other product candidates (as applicable);</w:t>
      </w:r>
    </w:p>
    <w:p>
      <w:pPr>
        <w:spacing w:after="0" w:line="24"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manufacturing of our product candidates;</w:t>
      </w:r>
    </w:p>
    <w:p>
      <w:pPr>
        <w:spacing w:after="0" w:line="8"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audit some or all of our clinical research and human factors study sites to determine the integrity of our data and may reject any or all of such data;</w:t>
      </w:r>
    </w:p>
    <w:p>
      <w:pPr>
        <w:spacing w:after="0" w:line="8"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change its approval policies or adopt new regulations; or</w:t>
      </w:r>
    </w:p>
    <w:p>
      <w:pPr>
        <w:spacing w:after="0" w:line="63"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not approve the labeling claims that we believe are necessary or desirable for the successful commercialization of our product candidates.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64" w:right="239" w:bottom="1440" w:gutter="0" w:footer="0" w:header="0"/>
          <w:type w:val="continuous"/>
        </w:sectPr>
      </w:pPr>
    </w:p>
    <w:bookmarkStart w:id="25" w:name="page26"/>
    <w:bookmarkEnd w:id="25"/>
    <w:p>
      <w:pPr>
        <w:jc w:val="both"/>
        <w:spacing w:after="0" w:line="287" w:lineRule="auto"/>
        <w:rPr>
          <w:sz w:val="20"/>
          <w:szCs w:val="20"/>
          <w:color w:val="auto"/>
        </w:rPr>
      </w:pPr>
      <w:r>
        <w:rPr>
          <w:rFonts w:ascii="Arial" w:cs="Arial" w:eastAsia="Arial" w:hAnsi="Arial"/>
          <w:sz w:val="16"/>
          <w:szCs w:val="16"/>
          <w:color w:val="auto"/>
        </w:rPr>
        <w:t>In December 2017 we presented to the FDA at our pre-NDA meeting the results from our two Phase 3 Glucagon Rescue Pen clinical trials that had been completed as of that meeting. Our first Phase 3 clinical trial was a non-inferiority comparison of the Glucagon Rescue Pen against Eli Lilly’s glucagon determined by an increase in plasma glucose concentration from below 50.0 mg/dL to greater than 70.0 mg/dL within 30 minutes after receiving glucagon. In this trial, our Glucagon Rescue Pen did not meet a primary endpoint for noninferiority in the intent-to-treat, or ITT, population due to one response failure in excess of the pre-specified threshold of three response failures. In the same trial, two subjects were censored from the modified ITT ("mITT") population because of a clinically significant protocol violation, and the remaining subjects were used for the per-protocol analysis. In accordance with FDA and International Council for Harmonisation guidance for evaluation of non-inferiority studies, we presented a series of analyses implementing ITT, mITT, and per-protocol cohorts for all the endpoints for this clinical trial to the FDA at this pre-NDA meeting. In that meeting, the FDA agreed overall that the totality of data for our Glucagon Rescue Pen is sufficient to support NDA review. However, certain of our analyses may be viewed as post-hoc analyses, and although we believe that post-hoc analyses can provide additional information regarding results from this trial, retrospective analyses can result in the introduction of bias and may be given less weight by the FDA, including for purposes of determining whether to approve our NDA.</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provided additional comments to address prior to NDA submission related to the pre-filled syringe presentation of our Glucagon Rescue Pen. Based on these comments, we conducted additional studies, the results from which were included in our Glucagon Rescue Pen submission to the FDA.</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generate additional information regarding the entire treatment episode, we completed an additional non-inferiority Phase 3b clinical trial in the second quarter of 2018 comparing our Glucagon Rescue Pen to Eli Lilly’s glucagon, the results of which were included in our NDA submission. Even though we completed this Phase 3b clinical trial, the FDA or other regulatory authorities may require us to conduct additional clinical trials prior to approval.</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 if a product is approved, the FDA may limit the indications for which the product may be marketed, require extensive warnings on the product labeling or require expensive and time-consuming clinical trials and/or reporting as conditions of approval. Regulators of other countries and jurisdictions have their own procedures for approval of product candidates with which we must comply prior to marketing in those countries or jurisdictions.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Obtaining regulatory approval for marketing of a product candidate in one country does not ensure that we will be able to obtain regulatory approval in any other country. In addition, delays in approvals or rejections of marketing applications in the United States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product development and the emergence of new information regarding our product candidates or other products. Also, regulatory approval for any of our product candidates may be withdrawn.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utilize the 505(b)(2) pathway for the regulatory approval of certain of our product candidates, including our Glucagon Rescue Pen. If the FDA does not conclude that the Glucagon Rescue Pen or such other product candidates meet the requirements of Section 505(b)(2), final marketing approval of our product candidates by the FDA or other regulatory authorities may be delayed, limited, or denied, any of which would adversely affect our ability to generate operating revenues.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pursuing a regulatory pathway pursuant to Section 505(b)(2) of the Federal Food, Drug and Cosmetic Act, or FDCA, for the approval of certain of our product candidates, including our Glucagon Rescue Pen, which allows us to rely on submissions of existing clinical data for the drug. Section 505(b)(2) was enacted as part of the Drug Price Competition and Patent Term Restoration Act of 1984, or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could require additional information to sufficiently demonstrate safety and efficacy to support approval.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FDA determines that our Glucagon Rescue Pen or our other product candidates do not meet the requirements of Section 505(b)(2), we may need to conduct additional clinical trials, provide additional data and information, and meet additional standards for regulatory approval. If this were to occur, the time and financial resources required to obtain FDA approval for these product candidates, and the complications and risks associated with these product candidates, would likely substantially increase. Moreover, an inability to pursue the Section 505(b)(2) regulatory pathway would likely result in new competitive products reaching the market more quickly than our product candidates, which would likely materially adversely impact our competitive position and prospects. Even if we are allowed to pursue the Section 505(b)(2) regulatory pathway, we cannot assure you that our product candidates will receive the requisite approvals for commercialization.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26" w:name="page27"/>
    <w:bookmarkEnd w:id="26"/>
    <w:p>
      <w:pPr>
        <w:jc w:val="both"/>
        <w:spacing w:after="0" w:line="289" w:lineRule="auto"/>
        <w:rPr>
          <w:sz w:val="20"/>
          <w:szCs w:val="20"/>
          <w:color w:val="auto"/>
        </w:rPr>
      </w:pPr>
      <w:r>
        <w:rPr>
          <w:rFonts w:ascii="Arial" w:cs="Arial" w:eastAsia="Arial" w:hAnsi="Arial"/>
          <w:sz w:val="16"/>
          <w:szCs w:val="16"/>
          <w:color w:val="auto"/>
        </w:rPr>
        <w:t>Some pharmaceutical companies and other actors have objected to the FDA’s interpretation of Section 505(b)(2) to allow reliance on the FDA’s prior findings of safety and effectiveness. If the FDA changes its interpretation of Section 505(b)(2), or if the FDA’s interpretation is successfully challenged in court, this could delay or even prevent the FDA from approving any Section 505(b)(2) application that we submit. Moreover, the FDA recently adopted an interpretation of the three-year exclusivity provisions whereby a 505(b)(2) application can be blocked by exclusivity even if it does not rely on the previously-approved drug that has exclusivity (or any safety or effectiveness information regarding that drug). Under the FDA’s new interpretation, the approval of one or more of our product candidates may be blocked by exclusivity awarded to a previously-approved drug product that shares certain innovative features with our product candidates, even if our 505(b)(2) application does not identify the previously-approved drug product as a listed drug or rely upon any of its safety or efficacy data.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spacing w:after="0" w:line="16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Clinical failure may occur at any stage of clinical development, and the results of our clinical trials may not support our proposed indications for our product candidates. If our clinical trials fail to demonstrate efficacy and safety to the satisfaction of the FDA or other regulatory authorities, we may incur additional costs or experience delays in completing, or ultimately be unable to complete, the development of such product candidate.</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cannot be certain that existing clinical trial results will be sufficient to support regulatory approval of our product candidates. Success in preclinical testing and early clinical trials does not ensure that later clinical trials will be successful, and we cannot be sure that the results of later clinical trials will replicate the results of prior clinical trials and preclinical testing. Moreover, success in clinical trials in a particular indication does not ensure that a product candidate will be successful in other indications. A number of companies in the pharmaceutical industry have suffered significant setbacks in clinical trials, even after promising results in earlier preclinical studies or clinical trials or successful later-stage trials in other related indications. These setbacks have been caused by, among other things, preclinical findings made while clinical trials were underway and safety or efficacy observations made in clinical trials, including previously unreported adverse events. The results of preclinical and early clinical trials of our product candidates may not be predictive of the results of later-stage clinical trials. Product candidates in later stages of clinical trials may fail to show the desired safety and efficacy traits despite having progressed through preclinical and initial clinical trials. A failure of a clinical trial to meet its predetermined endpoints would likely cause us to abandon a product candidate and may delay development of any other product candidates. Any delay in, or termination of, our clinical trials will delay the submission of the applicable NDA to the FDA, the Marketing Authorization Application, or MAA, to the European Medicines Agency, or EMA, or other similar applications with other relevant foreign regulatory authorities and, ultimately, our ability to commercialize our product candidates and generate revenue.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time may be required to obtain regulatory approval for our product candidates because they are combination products.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of our product candidates, including our Glucagon Rescue Pen, are drug and device combination products that require coordination within the FDA and similar foreign regulatory agencies for review of their device and drug components. Medical products containing a combination of new drugs, biological products or medical devices may be regulated as “combination products” in the United States and Europe. A combination product generally is defined as a product comprised of components from two or more 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and the lack of a well-established review process and criteria. The EMA has a parallel review process in place for combination products, the potential effects of which in terms of approval and timing could independently affect our ability to market our combination products in Europe.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Delays in conducting clinical trials could result in increased costs to us and delay our ability to obtain regulatory approval for our product candidates.</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delays in conducting clinical trials and related drug development programs could materially affect our product development costs and delay regulatory approval of our product candidates. We do not know whether planned clinical trials will begin on time, will need to be redesigned, or will be completed on schedule, if at all. A clinical trial can be delayed for a variety of reasons, including:</w:t>
      </w:r>
    </w:p>
    <w:p>
      <w:pPr>
        <w:spacing w:after="0" w:line="127" w:lineRule="exact"/>
        <w:rPr>
          <w:sz w:val="20"/>
          <w:szCs w:val="20"/>
          <w:color w:val="auto"/>
        </w:rPr>
      </w:pPr>
    </w:p>
    <w:p>
      <w:pPr>
        <w:jc w:val="both"/>
        <w:ind w:left="680" w:right="1720" w:hanging="318"/>
        <w:spacing w:after="0" w:line="26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competitive or comparator products or supportive care products or failure to follow regulatory guidelines;</w:t>
      </w:r>
    </w:p>
    <w:p>
      <w:pPr>
        <w:spacing w:after="0" w:line="19"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a trial;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ind w:left="680" w:right="1720" w:hanging="318"/>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 or other contract research organizations, or CROs;</w:t>
      </w:r>
    </w:p>
    <w:p>
      <w:pPr>
        <w:spacing w:after="0" w:line="8" w:lineRule="exact"/>
        <w:rPr>
          <w:rFonts w:ascii="Arial" w:cs="Arial" w:eastAsia="Arial" w:hAnsi="Arial"/>
          <w:sz w:val="18"/>
          <w:szCs w:val="18"/>
          <w:color w:val="auto"/>
        </w:rPr>
      </w:pPr>
    </w:p>
    <w:p>
      <w:pPr>
        <w:ind w:left="680" w:right="1720" w:hanging="318"/>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or IRB, to conduct a clinical trial at a prospective study site;</w:t>
      </w:r>
    </w:p>
    <w:p>
      <w:pPr>
        <w:spacing w:after="0" w:line="8" w:lineRule="exact"/>
        <w:rPr>
          <w:rFonts w:ascii="Arial" w:cs="Arial" w:eastAsia="Arial" w:hAnsi="Arial"/>
          <w:sz w:val="18"/>
          <w:szCs w:val="18"/>
          <w:color w:val="auto"/>
        </w:rPr>
      </w:pPr>
    </w:p>
    <w:p>
      <w:pPr>
        <w:ind w:left="680" w:right="1720" w:hanging="318"/>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receipt by a competitor of marketing approval for a product targeting an indication that our product candidate targets, such that we are not “first to market” with our product candidate;</w:t>
      </w:r>
    </w:p>
    <w:p>
      <w:pPr>
        <w:spacing w:after="0" w:line="8" w:lineRule="exact"/>
        <w:rPr>
          <w:rFonts w:ascii="Arial" w:cs="Arial" w:eastAsia="Arial" w:hAnsi="Arial"/>
          <w:sz w:val="18"/>
          <w:szCs w:val="18"/>
          <w:color w:val="auto"/>
        </w:rPr>
      </w:pPr>
    </w:p>
    <w:p>
      <w:pPr>
        <w:ind w:left="680" w:right="1720" w:hanging="318"/>
        <w:spacing w:after="0" w:line="317" w:lineRule="auto"/>
        <w:tabs>
          <w:tab w:leader="none" w:pos="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delays in recruiting or enrolling subjects to participate in a clinical trial, particularly with respect to our product candidates for certain rare indications, including those for which we have obtained, or plan to seek, orphan drug designation;</w:t>
      </w:r>
    </w:p>
    <w:p>
      <w:pPr>
        <w:ind w:left="680" w:hanging="318"/>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failure of a clinical trial or clinical investigators to be in compliance with current Good Clinical Practices, or cGCPs;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monitor subjects adequately during or after treatment;</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monitoring multiple study sites;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FDA requiring alterations to any of our study designs, our nonclinical strategy or our manufacturing plans;</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third-party clinical trial managers to satisfy their contractual duties, comply with regulations, or meet expected deadlines; and</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determination by regulators that the clinical design of a trial is not adequate.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Internal Review Boards, or IRBs, at the sites where the IRBs are overseeing a trial, a data safety monitoring board overseeing the clinical trial at issue, or other regulatory authorities due to a number of factors, including:</w:t>
      </w:r>
    </w:p>
    <w:p>
      <w:pPr>
        <w:spacing w:after="0" w:line="127" w:lineRule="exact"/>
        <w:rPr>
          <w:sz w:val="20"/>
          <w:szCs w:val="20"/>
          <w:color w:val="auto"/>
        </w:rPr>
      </w:pPr>
    </w:p>
    <w:p>
      <w:pPr>
        <w:ind w:left="660" w:hanging="36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63" w:lineRule="exact"/>
        <w:rPr>
          <w:rFonts w:ascii="Arial" w:cs="Arial" w:eastAsia="Arial" w:hAnsi="Arial"/>
          <w:sz w:val="18"/>
          <w:szCs w:val="18"/>
          <w:color w:val="auto"/>
        </w:rPr>
      </w:pPr>
    </w:p>
    <w:p>
      <w:pPr>
        <w:ind w:left="660" w:hanging="36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w:t>
      </w:r>
    </w:p>
    <w:p>
      <w:pPr>
        <w:spacing w:after="0" w:line="63" w:lineRule="exact"/>
        <w:rPr>
          <w:rFonts w:ascii="Arial" w:cs="Arial" w:eastAsia="Arial" w:hAnsi="Arial"/>
          <w:sz w:val="18"/>
          <w:szCs w:val="18"/>
          <w:color w:val="auto"/>
        </w:rPr>
      </w:pPr>
    </w:p>
    <w:p>
      <w:pPr>
        <w:ind w:left="660" w:hanging="36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safety issues, including serious adverse events associated with a product candidate, or lack of effectiveness; and</w:t>
      </w:r>
    </w:p>
    <w:p>
      <w:pPr>
        <w:spacing w:after="0" w:line="63" w:lineRule="exact"/>
        <w:rPr>
          <w:rFonts w:ascii="Arial" w:cs="Arial" w:eastAsia="Arial" w:hAnsi="Arial"/>
          <w:sz w:val="18"/>
          <w:szCs w:val="18"/>
          <w:color w:val="auto"/>
        </w:rPr>
      </w:pPr>
    </w:p>
    <w:p>
      <w:pPr>
        <w:ind w:left="660" w:hanging="36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conducting clinical trials in foreign countries, as we have done and plan to do for certain of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have undesirable side effects which may delay or prevent marketing approval, or, if approval is received, require them to include safety warnings, require them to be taken off the market or otherwise limit their sales.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other comparable foreign authorities. The range and potential severity of possible side effects from systemic therapies are significant. The results of future 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Recent developments in the pharmaceutical industry have prompted heightened government focus on safety reporting during both pre- and post-approval time periods and pharmacovigilance. Global health authorities may impose regulatory requirements to monitor safety that may burden our ability to commercialize our drug products.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patients treated with our ready-to-use glucagon have experienced drug-related side effects typically observed with glucagon products, including nausea, vomiting and headaches. Results of our trials could reveal a high and unacceptable severity and prevalence of these or other side effects. It is possible that there may be side effects associated with our other product candidates’ use.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Even if any of our product candidates receives marketing approval and we or others later identify undesirable or unacceptable side effects caused by such products:</w:t>
      </w:r>
    </w:p>
    <w:p>
      <w:pPr>
        <w:spacing w:after="0" w:line="116" w:lineRule="exact"/>
        <w:rPr>
          <w:sz w:val="20"/>
          <w:szCs w:val="20"/>
          <w:color w:val="auto"/>
        </w:rPr>
      </w:pPr>
    </w:p>
    <w:p>
      <w:pPr>
        <w:ind w:left="680" w:right="1840" w:hanging="375"/>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“black box” warnings, contraindications or dissemination of field alerts to physicians and pharmacies;</w:t>
      </w:r>
    </w:p>
    <w:p>
      <w:pPr>
        <w:spacing w:after="0" w:line="8" w:lineRule="exact"/>
        <w:rPr>
          <w:rFonts w:ascii="Arial" w:cs="Arial" w:eastAsia="Arial" w:hAnsi="Arial"/>
          <w:sz w:val="18"/>
          <w:szCs w:val="18"/>
          <w:color w:val="auto"/>
        </w:rPr>
      </w:pPr>
    </w:p>
    <w:p>
      <w:pPr>
        <w:ind w:left="680" w:right="1740" w:hanging="375"/>
        <w:spacing w:after="0" w:line="27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ind w:firstLine="74"/>
        <w:spacing w:after="0" w:line="308" w:lineRule="auto"/>
        <w:rPr>
          <w:sz w:val="20"/>
          <w:szCs w:val="20"/>
          <w:color w:val="auto"/>
        </w:rPr>
      </w:pPr>
      <w:r>
        <w:rPr>
          <w:rFonts w:ascii="Arial" w:cs="Arial" w:eastAsia="Arial" w:hAnsi="Arial"/>
          <w:sz w:val="17"/>
          <w:szCs w:val="17"/>
          <w:color w:val="auto"/>
        </w:rPr>
        <w:t>Any of these events could also prevent us from achieving or maintaining market acceptance of the affected product or could substantially increase commercialization costs and expenses, which in turn could delay or prevent us from generating significant revenues from the sale of our products.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received orphan drug designation for our product candidates with respect to certain indications and intend to pursue such designation for others, but we may be unable to obtain such designation or to maintain the benefits associated with orphan drug status, including market exclusivity, even if that designation is granted.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received orphan drug designation from the FDA for four indications for our product candidates, which are our ready-to-use glucagon for Post-Bariatric Hypoglycemia and congenital hyperinsulinism, and our ready-to-use diazepam for acute repetitive seizures and Dravet Syndrome. We intend to pursue such designation for others in specific orphan indications in which there is a medically plausible basis for its use.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Although we intend to seek orphan drug designation for certain additional indications, we may never receive such designation. Moreover, obtaining orphan drug designation for one indication does not mean we will be able to obtain such designation for another indication.</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a product that has orphan drug designation subsequently receives the first FDA approval for a particular active ingredient for the disease for which it has such designation, the product is entitled to orphan drug exclusivity, which means that the FDA may not approve any other applications, including an NDA,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 Similarly, the FDA can subsequently approve a drug with the same active moiety for the same condition during the exclusivity period if the FDA concludes that the later drug is clinically superior, meaning the later drug is safer, more effective or makes a major contribution to patient care. Even with respect to the indications for which we have received orphan designation, we may not be the first to obtain marketing approval for any particular orphan indication due to the uncertainties associated with developing pharmaceutical products, and thus approval of our product candidates could be blocked for seven years if another company previously obtained approval and orphan drug exclusivity for the same drug and same condition. If we do obtain exclusive marketing rights in the United States, they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the relevant patients. Further, exclusivity may not effectively protect the product from competition because different drugs with different active moieties can be approved for the same condition, the same drugs can be approved for different indications and might then be used off-label in our approved indication, and different drugs for the same condition may already be approved and commercially available.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Europe, the period of orphan drug exclusivity is ten years, although it may be reduced to six years if, at the end of the fifth year, it is established that the criteria for orphan drug designation are no longer met, in other words, when it is shown on the basis of available evidence that the product is sufficiently profitable not to justify maintenance of market exclusivity. We have received orphan drug designation from the EMA for our ready-to-use glucagon for the treatment of congenital hyperinsulinism.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Our failure to successfully identify, develop and market additional product candidates could impair our ability to grow.</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our growth strategy, we intend to identify, develop and market additional product candidates leveraging our formulation technology platforms. We are exploring various therapeutic opportunities for our pipeline programs. We may spend several years completing our development of any particular current or future internal product candidates, and failure can occur at any stage. The product candidates to which we allocate our resources may not end up being successful. While we identified several potential applications of our ready-to-use glucagon, including our Glucagon Rescue Pen and chronic or intermittent conditions, there is no guarantee that we will be able to utilize our formulation technology platforms to advance additional product candidates.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future, we may be dependent upon pharmaceutical companies, academic scientists and other researchers to sell or license product candidates, approved products or the underlying technology to us.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387" w:lineRule="exact"/>
        <w:rPr>
          <w:sz w:val="20"/>
          <w:szCs w:val="20"/>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63" w:lineRule="exact"/>
        <w:rPr>
          <w:rFonts w:ascii="Arial" w:cs="Arial" w:eastAsia="Arial" w:hAnsi="Arial"/>
          <w:sz w:val="18"/>
          <w:szCs w:val="18"/>
          <w:color w:val="auto"/>
        </w:rPr>
      </w:pPr>
    </w:p>
    <w:p>
      <w:pPr>
        <w:ind w:left="680" w:right="1860" w:hanging="375"/>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or technologies;</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substantial debt, dilutive issuances of securities or depletion of cash to pay for acquisitions;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63" w:lineRule="exact"/>
        <w:rPr>
          <w:rFonts w:ascii="Arial" w:cs="Arial" w:eastAsia="Arial" w:hAnsi="Arial"/>
          <w:sz w:val="18"/>
          <w:szCs w:val="18"/>
          <w:color w:val="auto"/>
        </w:rPr>
      </w:pPr>
    </w:p>
    <w:p>
      <w:pPr>
        <w:ind w:left="680" w:right="1860" w:hanging="375"/>
        <w:spacing w:after="0" w:line="277"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motivate key employees of any acquired businesses.</w:t>
      </w:r>
    </w:p>
    <w:p>
      <w:pPr>
        <w:spacing w:after="0" w:line="2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Further, any product candidate that we identify internally or acquire would require additional development efforts prior to commercial sale, including extensive clinical testing and approval by the FDA and other regulatory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Marketing of our Product Candidates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depends entirely on the success of our product candidates. Even if approved, our product candidates may not be accepted in the marketplace and our business may be materially harmed.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date, we have expended significant time, resources and effort on the development of our product candidates, and a substantial portion of our resources going forward will be focused on seeking marketing approval for and planning for potential commercialization of our lead product candidate, our Glucagon Rescue Pen, in the United States. Our business and future success are substantially dependent on our ability to successfully and timely obtain regulatory approval for and commercialize our Glucagon Rescue Pen. Our other product candidates are in earlier stages of development and subject to the risks of failure inherent in developing drug products. Accordingly, our ability to generate product revenues in the immediate term will depend on our ability to successfully obtain marketing approval for and commercialize our Glucagon Rescue Pen. Any delay or setback in the regulatory approval or commercialization of any of our product candidates will adversely affect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all regulatory approvals are obtained, the commercial success of our product candidates depends on gaining market acceptance among physicians, patients, patient advocacy groups, healthcare payors and the medical community. The degree of market acceptance of our product candidates will depend on many factors, including:</w:t>
      </w:r>
    </w:p>
    <w:p>
      <w:pPr>
        <w:spacing w:after="0" w:line="127" w:lineRule="exact"/>
        <w:rPr>
          <w:sz w:val="20"/>
          <w:szCs w:val="20"/>
          <w:color w:val="auto"/>
        </w:rPr>
      </w:pPr>
    </w:p>
    <w:p>
      <w:pPr>
        <w:ind w:left="680" w:right="1720" w:hanging="375"/>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of regulatory approvals, including limitations or warnings contained in a product candidate’s regulatory-approved labeling;</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produce, through a validated process, sufficiently large quantities of our product candidates to permit successful commercialization;</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commercial manufacturing arrangements with third-party manufacturers;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ind w:left="680" w:right="1720" w:hanging="37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build and maintain sales, distribution and marketing capabilities sufficient to launch commercial sales of our product candidates;</w:t>
      </w:r>
    </w:p>
    <w:p>
      <w:pPr>
        <w:spacing w:after="0" w:line="8" w:lineRule="exact"/>
        <w:rPr>
          <w:rFonts w:ascii="Arial" w:cs="Arial" w:eastAsia="Arial" w:hAnsi="Arial"/>
          <w:sz w:val="18"/>
          <w:szCs w:val="18"/>
          <w:color w:val="auto"/>
        </w:rPr>
      </w:pPr>
    </w:p>
    <w:p>
      <w:pPr>
        <w:jc w:val="both"/>
        <w:ind w:left="680" w:right="1720" w:hanging="375"/>
        <w:spacing w:after="0" w:line="317" w:lineRule="auto"/>
        <w:tabs>
          <w:tab w:leader="none" w:pos="6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acceptance in the medical community of the potential advantages of the product candidate, including with respect to our efforts to increase adoption of our product candidates such as our Glucagon Rescue Pen by patients and healthcare providers;</w:t>
      </w: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incidence, prevalence and severity of adverse side effects of our product candidates;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to prescribe our product candidates and of the target patient population to try these therapies;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and cost-effectiveness of our product candidates;</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each product is approved for use at, or included on formularies of, hospitals and managed care organizations;</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negative publicity related to our or our competitors’ products or other formulations of products that we administer, including as a result of any related adverse side effects;</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alternative treatment methods and potentially competitive products;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advantages of the product candidate over existing and future treatment methods;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our sales, marketing and distribution support; and</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sufficient third-party coverage and reimbursement.</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Additionally, if the Glucagon Rescue Pen or any of our other product candidates receives marketing approval and we or others later identify undesirable or unacceptable side effects caused by such products, a number of potentially significant negative consequences could result, including:</w:t>
      </w:r>
    </w:p>
    <w:p>
      <w:pPr>
        <w:spacing w:after="0" w:line="93" w:lineRule="exact"/>
        <w:rPr>
          <w:sz w:val="20"/>
          <w:szCs w:val="20"/>
          <w:color w:val="auto"/>
        </w:rPr>
      </w:pPr>
    </w:p>
    <w:p>
      <w:pPr>
        <w:ind w:left="680" w:right="1720" w:hanging="318"/>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require us to take our approved product off the market or ask us to voluntarily remove the product from the market;</w:t>
      </w:r>
    </w:p>
    <w:p>
      <w:pPr>
        <w:spacing w:after="0" w:line="8"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8" w:lineRule="exact"/>
        <w:rPr>
          <w:rFonts w:ascii="Arial" w:cs="Arial" w:eastAsia="Arial" w:hAnsi="Arial"/>
          <w:sz w:val="18"/>
          <w:szCs w:val="18"/>
          <w:color w:val="auto"/>
        </w:rPr>
      </w:pPr>
    </w:p>
    <w:p>
      <w:pPr>
        <w:jc w:val="both"/>
        <w:ind w:left="680" w:right="1720" w:hanging="318"/>
        <w:spacing w:after="0" w:line="264"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impose conditions under a risk evaluation and mitigation strategy, or REMS, including distribution of a medication guide to patients outlining the risks of such side effects or imposing distribution or use restrictions;</w:t>
      </w:r>
    </w:p>
    <w:p>
      <w:pPr>
        <w:spacing w:after="0" w:line="19"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our product candidates are approved but do not achieve an adequate level of acceptance by physicians, patients and third-party payors, we may never generate significant revenue from these products, and our business, financial condition and results of operations may be materially harmed. Even if our products achieve market acceptance, we may not be able to maintain that market acceptance over time if new therapeutics are introduced that are more favorably received than our products or that render our products obsolete, or if significant adverse events occur. If our products do not achieve and maintain market acceptance, we will not be able to generate sufficient revenue from product sales to attain profitability.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opportunity for our product candidates may be smaller than we estimate.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potential market opportunity for our product candidates is difficult to precisely estimate. Our estimates of the potential market opportunity for our product candidates include several key assumptions of the current market size and current pricing for commercially available products and are based on industry and market data obtained from industry publications, studies conducted by us, our industry knowledge, third-party research reports and other surveys. Industry publications and third-party research generally indicate that their information has been obtained from sources believed to be reliable, although they do not guarantee the accuracy or completeness of such information. For example, our projections for the potential size of the market for our Glucagon Rescue Pen are based on our belief that we would be able to increase the adoption of emergency glucagon products by patients and care providers. While we believe that our internal assumptions are reasonable, if any of these assumptions proves to be inaccurate, then the actual market for our product candidates, including our Glucagon Rescue Pen, could be smaller than our estimates of our potential market opportunity. If the actual market for our product candidates is smaller than we expect, our product revenue may be limited and it may be more difficult for us to achieve or maintain profitability.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30"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b w:val="1"/>
          <w:bCs w:val="1"/>
          <w:i w:val="1"/>
          <w:iCs w:val="1"/>
          <w:color w:val="auto"/>
        </w:rPr>
        <w:t>Our company has limited experience marketing and selling drug products and is currently developing an internal sales organization. If we are unable to establish marketing, sales and distribution capabilities or enter into agreements with third parties to market, sell and distribute our product candidates, we may not be able to generate product revenues.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do not have sufficient infrastructure for the sales, marketing or distribution of our product candidates, and the cost of establishing and maintaining such an organization may exceed the benefits of doing so. In order to commercialize our product candidates, we must expand our marketing, sales, distribution, managerial and other non-technical capabilities and/or make arrangements with third parties to perform these services. We intend to establish a sales force to market our Glucagon Rescue Pen in the United States, if we obtain FDA approval.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candidates, including our Glucagon Rescue Pen. We are building out our commercial organization in anticipation of receiving marketing approval of our Glucagon Rescue Pen. If the expected commercial launch of our Glucagon Rescue Pen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cannot be sure that we will be able to hire a sufficient number of sales representatives or that they will be effective at promoting our products that receive regulatory approval, if any. In addition, we will need to commit significant additional management and other resources to establish and grow our sales organization. We may not be able to achieve the necessary development and growth in a cost-effective manner or realize a positive return on our investment. We will also have to compete with other companies to recruit, hire, train and retain sales and marketing personnel.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include:</w:t>
      </w:r>
    </w:p>
    <w:p>
      <w:pPr>
        <w:spacing w:after="0" w:line="171" w:lineRule="exact"/>
        <w:rPr>
          <w:sz w:val="20"/>
          <w:szCs w:val="20"/>
          <w:color w:val="auto"/>
        </w:rPr>
      </w:pPr>
    </w:p>
    <w:p>
      <w:pPr>
        <w:ind w:left="680" w:hanging="375"/>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recruit and train adequate numbers of sales and marketing personnel;</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any of our product candidates that receive regulatory approval; and</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we are unable to effectively implement our sales organization or distribution strategy on a timely and effective basis, if at all, the commercialization of our product candidates could be delayed which would negatively impact our ability to generate product revenues.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to leverage the sales and marketing capabilities that we establish for our Glucagon Rescue Pen to commercialize additional product candidates for the management of other hypoglycemic conditions, if approved by the FDA, in the United States. If we are unable to do so for any reason, we would need to expend additional resources to establish commercialization capabilities for those product candidates, if approved.</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we intend to establish collaborations to commercialize our product candidates outside the United States, if approved by the relevant regulatory authorities. Therefore, our future success will depend, in part, on our ability to enter into and maintain collaborative relationships for such efforts, the collaborator’s strategic interest in the product and such collaborator’s ability to successfully market and sell the product. We may not be able to establish or maintain such collaborative arrangements, or if we are able to do so, such collaborators may not have effective sales forces. To the extent that we depend on third parties for marketing and distribution, any revenues we receive will depend upon the efforts of such third parties, and such efforts may not be successful.</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they will be widely used.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revenues and profitability will be adversely affected if U.S. and foreign governmental, private third-party insurers and payors and other third-party payors, including Medicare and Medicaid, do not agree to defray or reimburse the cost of our products to the patients. If these entities fail to provide coverage and reimbursement with respect to our products or provide an insufficient level of coverage and reimbursement, our products may be too costly for some patients to afford them and physicians may not prescribe them. In addition, limitations on the amount of reimbursement for our products may also reduce our profitability. In the United States and some foreign jurisdictions, there have been, and we expect there will continue to be, actions and proposals to control and reduce healthcare costs. There have been a number of legislative and regulatory changes and proposed changes regarding the healthcare system that could prevent or delay marketing approval for our product candidates, restrict or regulate post-approval activities and affect our ability to profitably sell any of our product candidates for which we obtain marketing approval. Government and other third-party payors are also challenging</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prices charged for healthcare products and increasingly limiting, and attempting to limit, both coverage and level of reimbursement for prescription drugs.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Market acceptance and sales of our products and product candidates that we develop, if approved, will depend on reimbursement policies and may be affected by future healthcare reform measures. Government authorities and third-party payors, such as private health insurers and health maintenance organizations, decide which drugs they will cover and establish payment levels. In the United States, no uniform policy of coverage and reimbursement for drugs exists among third-party payors. As a result, obtaining coverage and reimbursement approval of a drug from a government or other third-party payor is a time-consuming and costly process that could require us to provide to each payor supporting scientific, clinical and cost-effectiveness data for the use of our drugs on a payor-by-payor basis, with no assurance that coverage and adequate reimbursement will be obtained. We cannot be certain that reimbursement will be available for any of our product candidates, or that reimbursement rates will not change for our current products. Also, we cannot be certain that reimbursement policies will not reduce the demand for, or the price paid for, our products. If reimbursement is not available or is available on a limited basis, we may not be able to successfully commercialize any of our product candidates.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United States and several other jurisdictions are considering, or have already enacted, a number of legislative and regulatory proposals to change the healthcare system in ways that could negatively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Furthermore, third-party payors are increasingly requiring that companies provide them with predetermined discounts from list prices and are challenging the prices charged for medical products. We expect to experience pricing pressures in connection with the sale of our products that we develop due to the trend toward managed healthcare, the increasing influence of health maintenance organizations and additional legislative proposals.</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Affordability Reconciliation Act, or collectively, the ACA, became law in the United States. The ACA contains provisions that may reduce the profitability of drug products through increased rebates for drugs reimbursed by Medicaid programs, extension of Medicaid rebates to Medicaid managed care plans, and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 While we cannot predict what impact on federal reimbursement policies this legislation will have in general or on our business specifically, the ACA may result in downward pressure on pharmaceutical reimbursement, which could negatively affect market acceptance of our products and our product candidates. We cannot predict whether these challenges will continue or other proposals will be made or adopted, or what impact these efforts may have on us.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patients may require health insurance coverage to afford our products, if approved, and if we are unable to obtain adequate coverage and reimbursement by third-party payors for our products,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Pricing pressure from healthcare industry consolidation and our competitors may impact our ability to sell our products at prices necessary to support our current business strategies.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market is subject to competitive pricing pressure as a result of product competition and a trend of consolidation in the healthcare industry to aggregate purchasing power as healthcare costs increase and reforms initiated by legislators, regulators and third-party payors to curb these costs are implemented.</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example, Eli Lilly’s Glucagon Emergency Kit, or GEK, is covered at or above 94% with unrestricted access across commercial, Medicare, Managed Medicaid and State Medicaid plans. Of our target patient population, approximately 50% are commercially-insured, one-third are covered by Medicare and approximately 15% are covered by Medicaid. However, as the healthcare industry consolidates, competition to provide products and services to industry participants has become more intense and may intensify as the potential purchasers of our products or third-party payors use their purchasing power to exert competitive pricing pressure. We expect that market demand, government regulation, third-party coverage and reimbursement policies and societal pressures will continue to change the healthcare industry worldwide, resulting in further business consolidations and alliances among our potential purchasers. If competitive forces drive down the prices we are able to charge for our products, our profit margins will shrink, which will adversely affect our ability to invest in and grow our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Even if we successfully obtain approval for, produce and distribute our Glucagon Rescue Pen, its success will be dependent on its proper use by patients, healthcare practitioners and caregivers.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While we have designed our Glucagon Rescue Pen to be operable by patients, caregivers and healthcare practitioners, we cannot control the successful use of the product by patients, caregivers and healthcare practitioners. Even though our Glucagon Rescue Pen was used correctly by individuals in our human factors study, there is no guarantee that these results will be replicated by users in the future. If we are not successful in promoting the proper use of our Glucagon Rescue Pen, if approved, by patients, healthcare practitioners and caregivers, we may not be able to achieve market acceptance or effectively commercialize our Glucagon Rescue Pen. In addition, even in the event of proper use of our Glucagon Rescue Pen, individual devices may fail. Increasing the scale of production inherently creates increased risk of manufacturing errors, and we may not be able to adequately inspect every device that is produced, and it is possible that individual devices may fail to perform as designed. Manufacturing errors could negatively impact market acceptance of any of our product candidates that receive approval, result in negative press coverage, or increase the risk that we may be 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and recommendations can reduce the use of our product candidates.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Government agencies and industry associations such as the American Diabetes Association promulgate guidelines applicable to certain drug classes which may include our products and product candidates that we are developing. Recommendations from these organizations may relate to such matters as usage, dosage, route of administration and use of concomitant therapies. Regulations or guidelines affecting our products and product candidates that we are developing or the use of competitive or alternative products as the standard of care to be followed by patients and healthcare providers could result in decreased use of our product candidates or negatively impact our ability to gain market acceptance and market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the Ongoing Legal and Regulatory Requirements to which our Product Candidates are Subject</w:t>
      </w:r>
    </w:p>
    <w:p>
      <w:pPr>
        <w:spacing w:after="0" w:line="229"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Even if our product candidates receive regulatory approval, we may still face future development and regulatory difficulties. If we fail to comply with continuing U.S. and non-U.S. regulations or new safety data arise, we could lose our marketing approvals and our business would be seriously harmed.</w:t>
      </w:r>
    </w:p>
    <w:p>
      <w:pPr>
        <w:spacing w:after="0" w:line="1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candidates, if approved, will also be subject to ongoing regulatory requirements for manufacturing, distribution, sale, labeling, packaging, storage, advertising, promotion, record-keeping and submission of safety and other post-market information. In addition, approved products, third-party suppliers and their facilities are required to comply with extensive FDA requirements and requirements of other similar agencies even after approval, including ensuring that quality control and manufacturing procedures conform to current Good Manufacturing Practices, or cGMPs, and applicable Quality System Regulations, or QSRs. As such, we and our third-party suppliers are subject to continual review and periodic inspections, both announced and unannounced, to assess compliance with cGMPs and QSRs.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other similar agencies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Accordingly, we may not promote our approved products, if any, for indications or uses for which they are not approved.</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it may impose restrictions on that product or us, including requiring withdrawal of the product from the market. These unknown problems could be discovered as a result of any post-marketing follow-up studies, routine safety surveillance or other reporting required as a condition to approval.</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If our product candidates fail to comply with applicable regulatory requirements, or if a problem with one of our products or third-party suppliers is discovered, a regulatory agency may:</w:t>
      </w:r>
    </w:p>
    <w:p>
      <w:pPr>
        <w:spacing w:after="0" w:line="116" w:lineRule="exact"/>
        <w:rPr>
          <w:sz w:val="20"/>
          <w:szCs w:val="20"/>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the marketing or manufacturing of such products;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 the labeling of a product;</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 which may require corrective action;</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other administrative or judicial civil or criminal penalties including fines, imprisonment and disgorgement of profits;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close the facilities of our third-party suppliers;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suspend ongoing clinical trials;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seize or detain products or recommend or require a product recall.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FDA’s and foreign regulatory agencies’ policies are subject to change, and additional federal, state, local or non-U.S. governmental regulations may be enacted that could affect our ability to maintain compliance. We cannot predict the likelihood, nature or extent of adverse governmental regulation that may arise from future legislation or administrative action, either in the United States or abroad.</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operate in a competitive business environment and, if we are unable to compete successfully against our existing or potential competitors, our sales and operating results may be negatively affected and we may not successfully commercialize our product candidates, even if approved.</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pharmaceutical and biotechnology industries are characterized by intense competition and significant and rapid technological change as researchers learn more about diseases and develop new technologies and treatments. Any product candidates that we successfully develop and commercialize will compete with existing drugs and new drugs that may become available in the future. While we believe that our product and product candidate platform, development expertise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Many of our current and potential competitors are major pharmaceutical companies that have substantially greater financial, technical and marketing resources than we do, and they may succeed in developing products that would render our products obsolete or noncompetitive. Our ability to compete successfully will depend on our ability to develop future products that reach the market in a timely manner, are well adopted by patients and healthcare providers and receive adequate coverage and reimbursement from third-party payors. Because of the size of the potential market, we anticipate that companies will dedicate significant resources to developing products competitive to our product candidates.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we have numerous competitors in the severe hypoglycemia market, which currently include Eli Lilly’s Glucagon Emergency Kit and Novo Nordisk’s GlucaGen, and in the future may include a subcutaneous dasiglucagon auto-injector, being developed by Zealand Pharma, and an intranasal glucagon dry powder, being developed by Eli Lilly. At any time, these or other industry participants may develop alternative treatments, products or procedures for the treatment of severe hypoglycemia that compete directly or indirectly with our Glucagon Rescue Pen, if approved. They may also develop and patent processes or products earlier than we can or obtain regulatory clearance or approvals for competing products more rapidly than we can, which could impair our ability to develop and commercialize similar processes or products. If alternative treatments are, or are perceived to be, superior to our products, sales of our products, if approved, could be negatively affected and our results of operations could suffer.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widespread acceptance of currently available therapies with which our product candidates will compete may limit market acceptance of our product candidates even if commercialized. For example, emergency glucagon products are currently available for hypoglycemia and are widely accepted in the medical community and have a long history of use. These treatments will compete with our Glucagon Rescue Pen, if approved, and may limit the potential for our Glucagon Rescue Pen to receive widespread acceptance if commercialized.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FDA approves a competitor’s application for a product candidate or drug-device combination product before our application for a similar product candidate or drug-device combination product, and grants such competitor a period of exclusivity, the FDA may take the position that it cannot approve our 505(b)(2) application for a similar product candidate until the exclusivity period expires. We submitted the NDA for our Glucagon Rescue Pen to the FDA for approval under Section 505(b)(2) of the FDCA in the third quarter of 2018 that was accepted for review in the fourth quarter of 2018. Eli Lilly submitted an NDA to the FDA and a Marketing Authorization Application to the European Medicines Agency for its intranasal glucagon in 2018. Additionally, even if our 505(b)(2) application for our Glucagon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Rescue Pen is approved first and we receive three-year marketing exclusivity, we may still be subject to competition from other companies with approved products or approved 505(b)(2) NDAs for different conditions of use that would not be restricted by any grant of exclusivity to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product candidates, the sales of our product candidates, if approved, could be adversely affected.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an NDA, including a Section 505(b)(2) application, is approved, the product covered becomes a “listed drug” which can be cited by potential competitors in support of approval of an abbreviated new drug application, or ANDA. FDA regulations and other applicable regulations and policies provide incentives to manufacturers to create modified versions of a drug to facilitate the approval of an ANDA or other application for similar substitutes. If these manufacturers demonstrate that their product has the same active ingredient(s), dosage form, strength, route of administration, and conditions of use, or labeling, as our product candidate, they might only be required to conduct a relatively inexpensive study to show that their generic product is absorbed in the body at the same rate and to the same extent as, or is bioequivalent to, our product candidate. In some cases, even this limited bioequivalence testing can be waived by the FDA. Competition from generic equivalents to our product candidates could substantially limit our ability to generate revenues and therefore to obtain a return on the investments we have made in our product candidates.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our lead product candidate, Glucagon Rescue Pen, or our other product candidates in the United States, we may never obtain or maintain foreign regulatory approvals to market our products in other countries.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have any product candidates approved for sale in any jurisdiction, including in international markets, and we do not have experience in obtaining regulatory approval in international markets. In order to market products in any particular jurisdiction, we must establish and comply with numerous and varying regulatory requirements on a country-by-country basis regarding safety and efficacy. Approval by the FDA in the United States does not ensure approval by regulatory authorities in other countries or jurisdictions, and approval or certification by one foreign regulatory authority does not ensure approval or certification by regulatory authorities in other foreign countries or by the FDA. International jurisdictions require separate regulatory approvals and compliance with numerous and varying regulatory requirements. The approval procedures vary among countries and may involve requirements for additional testing, and the time required to obtain approval may differ from country to country and from that required to obtain clearance or approval in the United States. In addition, with respect to our Glucagon Rescue Pen, we are engaged in ongoing interactions with European regulatory authorities regarding our development path in Europe. For our Glucagon Rescue Pen, because Eli Lilly’s Glucagon Emergency Kit is not approved in Europe, we are conducting an additional clinical trial comparing our Glucagon Rescue Pen to Novo Nordisk’s GlucaGen, in addition to our existing clinical trials involving Eli Lilly’s Glucagon Emergency Kit. Such requirements may increase our development expenses and delay our regulatory development plans for potential European approval of our Glucagon Rescue Pen. There can be no assurance that the results that we observed from our prior and ongoing clinical trials for our Glucagon Rescue Pen will be replicated in any future clinical trials that we undertake, or that any such results will be sufficient to secure approval in Europe.</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some countries only approve or certify a product for a certain period of time, and we are required to re-approve or re-certify our products in a timely manner prior to the expiration of our prior approval or certification.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or if we fail to have our products re-approved or re-certified, our business, results of operations and financial condition could be adversely affected. The foreign regulatory approval or certification process may include all of the risks associated with obtaining FDA clearance or approval. In addition, the clinical standards of care may differ significantly such that clinical trials conducted in one country may not be accepted by healthcare providers, third-party payors or regulatory authorities in other countries, and regulatory approval in one country does not guarantee regulatory approval in any other country. If we fail to comply with regulatory requirements in international markets or to obtain and maintain required approvals, or if regulatory approvals in international markets are delayed, our target market will be reduced and our ability to realize the full market potential of any drug we develop will be unrealized.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regulatory approval of our product candidates, including our Glucagon Rescue Pen, restrict or regulate post-approval activities and affect our ability to profitably sell any product candidates for which we obtain marketing approval.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Among the provisions of the ACA of importance to our product candidates are the following:</w:t>
      </w:r>
    </w:p>
    <w:p>
      <w:pPr>
        <w:spacing w:after="0" w:line="133" w:lineRule="exact"/>
        <w:rPr>
          <w:sz w:val="20"/>
          <w:szCs w:val="20"/>
          <w:color w:val="auto"/>
        </w:rPr>
      </w:pPr>
    </w:p>
    <w:p>
      <w:pPr>
        <w:ind w:left="680" w:right="1720" w:hanging="375"/>
        <w:spacing w:after="0" w:line="298" w:lineRule="auto"/>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ind w:left="680" w:right="1720" w:hanging="37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8" w:lineRule="exact"/>
        <w:rPr>
          <w:rFonts w:ascii="Arial" w:cs="Arial" w:eastAsia="Arial" w:hAnsi="Arial"/>
          <w:sz w:val="18"/>
          <w:szCs w:val="18"/>
          <w:color w:val="auto"/>
        </w:rPr>
      </w:pPr>
    </w:p>
    <w:p>
      <w:pPr>
        <w:jc w:val="both"/>
        <w:ind w:left="680" w:right="1720" w:hanging="375"/>
        <w:spacing w:after="0" w:line="317" w:lineRule="auto"/>
        <w:tabs>
          <w:tab w:leader="none" w:pos="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False Claims Act and the federal Anti-Kickback Statute, or AKS, which include, among other things, new government investigative powers and enhanced penalties for non-compliance;</w:t>
      </w:r>
    </w:p>
    <w:p>
      <w:pPr>
        <w:jc w:val="both"/>
        <w:ind w:left="680" w:right="1720" w:hanging="375"/>
        <w:spacing w:after="0" w:line="264"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9"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requirements under the federal open payments program and its implementing regulations;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63" w:lineRule="exact"/>
        <w:rPr>
          <w:rFonts w:ascii="Arial" w:cs="Arial" w:eastAsia="Arial" w:hAnsi="Arial"/>
          <w:sz w:val="18"/>
          <w:szCs w:val="18"/>
          <w:color w:val="auto"/>
        </w:rPr>
      </w:pPr>
    </w:p>
    <w:p>
      <w:pPr>
        <w:ind w:left="680" w:right="1720" w:hanging="318"/>
        <w:spacing w:after="0" w:line="277" w:lineRule="auto"/>
        <w:tabs>
          <w:tab w:leader="none" w:pos="6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which is commonly known as the requirement that all individuals maintain health insurance coverage or pay a penalty, referred to as the “individual mandate.” However, as a result of tax reform legislation passed in December 2017, the individual mandate has been eliminated effective January 1, 2019. According to the Congressional Budget Office, the repeal of the individual mandate will cause 13 million fewer Americans to be insured in 2027 and premiums in insurance markets may rise.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Litigation and legislation over the ACA are likely to continue, with unpredictable and uncertain results. We continue to evaluate the effect that the ACA and its possible repeal and replacement has on our business.</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2% per fiscal year through 2027.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The costs of prescription pharmaceuticals in the United States has also been the subject of considerable debate, and members of Congress and the Trump Administration have indicated that each will address such costs through new legislative and administrative measures. To date, there have been several recent U.S. congressional inquiries and proposed state and federal legislation designed to, among other things, improve transparency in drug pricing, review the relationship between pricing and manufacturer patient programs, reduce the costs of drugs under Medicare, and reform government program reimbursement methodologies for drug products. The pricing of prescription pharmaceuticals is also subject to governmental control outside the United States. In these other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approved products. In addition, there have been several recent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labeling and post-marketing testing and other requirements.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that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the Office of Management and Budget on February 2, 2017, the Trump administration indicates that the “two-for-one” provisions may apply not only to agency regulations, but also to significant agency guidance documents. Further, on February 24, 2017, President Trump issued an Executive Order requiring each agency to designate a regulatory reform officer and create a regulatory reform task force to evaluate existing regulations and make recommendations regarding their repeal, replacement or modification.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transparency, and other healthcare laws and regulations, which could expose us to criminal sanctions, civil penalties, contractual damages, reputational harm, administrative burdens and diminished profits and future earnings.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products for which we obtain marketing approval. Our future arrangements with investigators, healthcare practitioners, consultants, third-party payors and customers, if any, will subject us to broadly applicable fraud and abuse and other healthcare laws and regulations. These laws and regulations may constrain the business or financial arrangements and relationships through which we conduct our operations, including how we research, market, sell and distribute any products for which we obtain marketing approval. These include the following:</w:t>
      </w:r>
    </w:p>
    <w:p>
      <w:pPr>
        <w:spacing w:after="0" w:line="350" w:lineRule="exact"/>
        <w:rPr>
          <w:sz w:val="20"/>
          <w:szCs w:val="20"/>
          <w:color w:val="auto"/>
        </w:rPr>
      </w:pPr>
    </w:p>
    <w:p>
      <w:pPr>
        <w:jc w:val="both"/>
        <w:ind w:left="720" w:right="20" w:hanging="358"/>
        <w:spacing w:after="0" w:line="270" w:lineRule="auto"/>
        <w:tabs>
          <w:tab w:leader="none" w:pos="7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Anti-Kickback Statute. AKS, makes it illegal for any person or entity (including a prescription drug manufacturer or a party acting on its behalf) to knowingly and willfully solicit, offer, receive or pay remuneration, directly or indirectly, in cash or in kind, in exchange for or intended to induce or reward either the referral of an individual for, or the purchase, order, prescription or recommendation or arranging of, any good or service, for which payment may be made under a federal healthcare program such as Medicare and Medicaid.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may be subject to scrutiny if they do not qualify for an exception or safe harbor. A person or entity can be found guilty of violating the AKS without actual knowledge of the statute or specific intent to violate it. In addition, the government may assert that a claim including items or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38" w:name="page39"/>
    <w:bookmarkEnd w:id="38"/>
    <w:p>
      <w:pPr>
        <w:jc w:val="both"/>
        <w:ind w:left="680" w:right="1720"/>
        <w:spacing w:after="0" w:line="259" w:lineRule="auto"/>
        <w:rPr>
          <w:sz w:val="20"/>
          <w:szCs w:val="20"/>
          <w:color w:val="auto"/>
        </w:rPr>
      </w:pPr>
      <w:r>
        <w:rPr>
          <w:rFonts w:ascii="Arial" w:cs="Arial" w:eastAsia="Arial" w:hAnsi="Arial"/>
          <w:sz w:val="18"/>
          <w:szCs w:val="18"/>
          <w:color w:val="auto"/>
        </w:rPr>
        <w:t>services resulting from a violation of the AKS constitutes a false or fraudulent claim for purposes of the federal False Claims Act or federal civil money penalties statute. Violations of the AKS carry potentially significant civil and criminal penalties, including imprisonment, fines, administrative civil monetary penalties, and exclusion from participation in federal healthcare programs.</w:t>
      </w:r>
    </w:p>
    <w:p>
      <w:pPr>
        <w:spacing w:after="0" w:line="25" w:lineRule="exact"/>
        <w:rPr>
          <w:sz w:val="20"/>
          <w:szCs w:val="20"/>
          <w:color w:val="auto"/>
        </w:rPr>
      </w:pPr>
    </w:p>
    <w:p>
      <w:pPr>
        <w:jc w:val="both"/>
        <w:ind w:left="680" w:right="1720" w:hanging="318"/>
        <w:spacing w:after="0" w:line="273"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False Claims Laws. </w:t>
      </w:r>
      <w:r>
        <w:rPr>
          <w:rFonts w:ascii="Arial" w:cs="Arial" w:eastAsia="Arial" w:hAnsi="Arial"/>
          <w:sz w:val="17"/>
          <w:szCs w:val="17"/>
          <w:color w:val="auto"/>
        </w:rPr>
        <w:t>The federal false claims and civil monetary penalties laws, including the federal civil False Claims Act,</w:t>
      </w:r>
      <w:r>
        <w:rPr>
          <w:rFonts w:ascii="Arial" w:cs="Arial" w:eastAsia="Arial" w:hAnsi="Arial"/>
          <w:sz w:val="17"/>
          <w:szCs w:val="17"/>
          <w:i w:val="1"/>
          <w:iCs w:val="1"/>
          <w:color w:val="auto"/>
        </w:rPr>
        <w:t xml:space="preserve"> </w:t>
      </w:r>
      <w:r>
        <w:rPr>
          <w:rFonts w:ascii="Arial" w:cs="Arial" w:eastAsia="Arial" w:hAnsi="Arial"/>
          <w:sz w:val="17"/>
          <w:szCs w:val="17"/>
          <w:color w:val="auto"/>
        </w:rPr>
        <w:t>impose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knowingly avoiding, decreasing or concealing an obligation to pay money to the federal government, with potential liability including mandatory treble damages and significant per-claim penalties.</w:t>
      </w:r>
    </w:p>
    <w:p>
      <w:pPr>
        <w:spacing w:after="0" w:line="16" w:lineRule="exact"/>
        <w:rPr>
          <w:rFonts w:ascii="Arial" w:cs="Arial" w:eastAsia="Arial" w:hAnsi="Arial"/>
          <w:sz w:val="17"/>
          <w:szCs w:val="17"/>
          <w:color w:val="auto"/>
        </w:rPr>
      </w:pPr>
    </w:p>
    <w:p>
      <w:pPr>
        <w:jc w:val="both"/>
        <w:ind w:left="680" w:right="1720" w:hanging="318"/>
        <w:spacing w:after="0" w:line="299"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Anti-Inducement Law</w:t>
      </w:r>
      <w:r>
        <w:rPr>
          <w:rFonts w:ascii="Arial" w:cs="Arial" w:eastAsia="Arial" w:hAnsi="Arial"/>
          <w:sz w:val="16"/>
          <w:szCs w:val="16"/>
          <w:color w:val="auto"/>
        </w:rPr>
        <w:t>. The anti-inducement law prohibits, among other things, the offering or giving of remuneration,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 w:lineRule="exact"/>
        <w:rPr>
          <w:rFonts w:ascii="Arial" w:cs="Arial" w:eastAsia="Arial" w:hAnsi="Arial"/>
          <w:sz w:val="16"/>
          <w:szCs w:val="16"/>
          <w:color w:val="auto"/>
        </w:rPr>
      </w:pPr>
    </w:p>
    <w:p>
      <w:pPr>
        <w:jc w:val="both"/>
        <w:ind w:left="680" w:right="1720" w:hanging="318"/>
        <w:spacing w:after="0" w:line="270"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HIPAA</w:t>
      </w:r>
      <w:r>
        <w:rPr>
          <w:rFonts w:ascii="Arial" w:cs="Arial" w:eastAsia="Arial" w:hAnsi="Arial"/>
          <w:sz w:val="17"/>
          <w:szCs w:val="17"/>
          <w:color w:val="auto"/>
        </w:rPr>
        <w:t>. The federal Health Insurance Portability and Accountability Act of 1996, or HIPAA, as amended by the Health</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for Economic and Clinical Health Act of 2009, or HITECH, and their respective implementing regulations, imposes criminal and civil liability for, among other things, knowingly and willfully executing, or attempting to execute, a scheme to defraud any healthcare benefit program (including private payors) or making false or fraudulent statements relating to healthcare matters. Similar to the federal AKS, a person or entity does not need to have actual knowledge of the statute or specific intent to violate it in order to have committed a violation. Additionally, HIPAA, as amended by HITECH and its implementing regulations, also imposes obligations on covered entities and their business associates, including mandatory contractual terms and technical safeguards, with respect to maintaining the privacy, security and transmission of individually identifiable health information.</w:t>
      </w:r>
    </w:p>
    <w:p>
      <w:pPr>
        <w:spacing w:after="0" w:line="19" w:lineRule="exact"/>
        <w:rPr>
          <w:rFonts w:ascii="Arial" w:cs="Arial" w:eastAsia="Arial" w:hAnsi="Arial"/>
          <w:sz w:val="17"/>
          <w:szCs w:val="17"/>
          <w:color w:val="auto"/>
        </w:rPr>
      </w:pPr>
    </w:p>
    <w:p>
      <w:pPr>
        <w:jc w:val="both"/>
        <w:ind w:left="680" w:right="1720" w:hanging="318"/>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Transparency Requirements. </w:t>
      </w:r>
      <w:r>
        <w:rPr>
          <w:rFonts w:ascii="Arial" w:cs="Arial" w:eastAsia="Arial" w:hAnsi="Arial"/>
          <w:sz w:val="18"/>
          <w:szCs w:val="18"/>
          <w:color w:val="auto"/>
        </w:rPr>
        <w:t>The federal Physician Payments Sunshine Act requires certain manufacturers of drugs, devices,</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biologics, and medical supplies for which payment is available under Medicare, Medicaid, or the Children’s Health Insurance Program, with specific exceptions, to report annually to the CMS information related to payments or transfers of value made to physicians (defined to include doctors, dentists, optometrists, podiatrists and chiropractors) and teaching hospitals, as well as information regarding ownership and investment interests held by the physicians described above and their immediate family members.</w:t>
      </w:r>
    </w:p>
    <w:p>
      <w:pPr>
        <w:spacing w:after="0" w:line="30" w:lineRule="exact"/>
        <w:rPr>
          <w:rFonts w:ascii="Arial" w:cs="Arial" w:eastAsia="Arial" w:hAnsi="Arial"/>
          <w:sz w:val="18"/>
          <w:szCs w:val="18"/>
          <w:color w:val="auto"/>
        </w:rPr>
      </w:pPr>
    </w:p>
    <w:p>
      <w:pPr>
        <w:jc w:val="both"/>
        <w:ind w:left="680" w:right="1720" w:hanging="318"/>
        <w:spacing w:after="0" w:line="269"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Analogous State and Foreign Laws</w:t>
      </w:r>
      <w:r>
        <w:rPr>
          <w:rFonts w:ascii="Arial" w:cs="Arial" w:eastAsia="Arial" w:hAnsi="Arial"/>
          <w:sz w:val="17"/>
          <w:szCs w:val="17"/>
          <w:color w:val="auto"/>
        </w:rPr>
        <w:t>. Analogous state and foreign fraud and abuse laws and regulations, such as state anti-kickback and false claims laws, can apply to our business practices, including but not limited to, research, distribution, sales and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some state laws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Efforts to ensure that our business arrangements with third parties, and our business generally, will comply with applicable healthcare laws and regulations involve substantial costs. It is possible that governmental authorities will conclude that our business practices, including our arrangements with physicians and other healthcare providers, some of whom may receive stock options as compensation for services provided,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some countries, such as the countries of the European Union,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or any future collaborators, may be required to conduct a clinical trial that compares the cost-effectiveness of our product candidates to other available therapies, which is time-consuming and costly. If reimbursement of our product candidates is unavailable or limited in scope or amount, or if pricing is set at unsatisfactory levels, our business could be harmed.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names, and any failure or delay associated with such approval may adversely impact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name we intend to use for our product candidates will require approval from the FDA regardless of whether we have secured a trademark registration from the U.S. Patent and Trademark Office, or USPTO. The FDA typically conducts a review of proposed product names, including an evaluation of potential for confusion with other product names. The FDA may object to any product name we submit if it believes the name inappropriately implies medical claims. If the FDA objects to any of our proposed product names,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third parties to conduct the clinical trials for our product candidates, and any failure of those parties to fulfill their obligations could harm our development and commercialization plans.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depend on independent clinical investigators, CROs, academic institutions and other third-party service providers to conduct clinical trials for our product candidates. Although we rely heavily on these parties for successful execution of our clinical trials, we are ultimately responsible for the results of their activities and many aspects of their activities are beyond our control. For example, we are responsible for ensuring that each of our clinical trials is conducted in accordance with the general investigational plan and protocols for the trial, but the independent clinical investigators may prioritize other projects over ours or may fail to timely communicate issues regarding our products to us. Third parties may not complete activities on schedule or may not conduct our clinical trials in accordance with regulatory requirements or our stated protocols. The delay or early termination of any of our clinical trial arrangements, the failure of third parties to comply with the regulations and requirements governing clinical trials, or our reliance on results of trials that we have not directly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conducted or monitored could hinder or delay the development, approval and commercialization of our product candidates and would adversely affect our business, results of operations and financial condition.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compliance programs related to our clinical trials through our clinical operations and development personnel working with our finance and legal groups’ support. Our clinical trial vendors are required to monitor and report to us the possible remedial action required for the conduct of clinical studies, and we are obliged to take the appropriate action. We also monitor clinical trial vendors through our regulatory and quality assurance staff and service providers. However, we cannot assure you that our programs and personnel will timely and fully discover any fraud or abuse that may occur in connection with our clinical trials. Such fraud or abuse, if it occurs, could have a material adverse effect on our research, development, and commercialization activities and results.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reliance on third-party suppliers, including single-source suppliers and a limited number of options for alternate sources for our product candidates, including our Glucagon Rescue Pen, could harm our ability to develop our product candidates or to commercialize any product candidates that are approved.</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do not currently own or operate manufacturing facilities for the production of any of our product candidates, including our Glucagon Rescue Pen. We rely on third-party suppliers to manufacture and supply our products. We currently rely on a number of single-source suppliers, such as Bachem Americas, Inc., or Bachem, for active pharmaceutical ingredient ("API"), Pyramid Laboratories Inc., or Pyramid, for drug product and SHL Pharma, LLC, or SHL Pharma, for auto-injector and final product assembly. We have entered into supply agreements with Bachem, Pyramid and SHL Pharma and a joint development agreement with SHL Pharma. Because we have contracts in place with some but not all of our third-party suppliers, our suppliers may not be required to provide us with any guaranteed minimum production levels or have dedicated capacity for our products. As a result, there can be no assurances that we will be able to obtain sufficient quantities of key materials or products in the future, which could have a material adverse effect on our business.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us to be successful, our third-party suppliers must be able to provide us with raw materials, components and products in substantial quantities, in compliance with regulatory requirements, in accordance with agreed upon specifications, at acceptable costs and on a timely basis. Reliance on third-party suppliers entails risks to which we would not be subject if we manufactured products ourselves, including reliance on the third party for regulatory compliance and quality assurance, the possibility that products will not be delivered on a timely basis, the possibility of increases in pricing for our products, and the possibility of breach or termination of a manufacturing agreement or purchase order by the third party.</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product candidates, including Glucagon Rescue Pen, are drug-device combination products that will be regulated under the drug regulations of the FDCA based on its primary mode of action as a drug. Third-party manufacturers may not be able to comply with the cGMP regulatory requirements applicable to drug-device combination products, including applicable provisions of the FDA’s drug cGMP regulations, device cGMP requirements embodied in the QSR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our NDA to the FDA. We do not control the manufacturing process of, and are completely dependent on, our contract manufacturing partners for compliance with cGMPs and QSRs.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Contract manufacturers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FDA and other foreign regulatory authorities require manufacturers to register manufacturing facilities. The FDA and corresponding foreign regulators also inspect these facilities to confirm compliance with applicable cGMPs and QSRs. Contract manufacturers may face manufacturing or quality control problems causing drug substance or device component production and shipment delays or a situation where the contractor may not be able to maintain compliance with the applicable cGMP or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 limited number of third-party suppliers that are compliant with cGMP and/or QSRs, as required by the FDA, the European Union, and other regulatory authorities, and that also have the necessary expertise and capacity to manufacture our materials and products.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1" w:name="page42"/>
    <w:bookmarkEnd w:id="41"/>
    <w:p>
      <w:pPr>
        <w:jc w:val="both"/>
        <w:spacing w:after="0" w:line="286" w:lineRule="auto"/>
        <w:rPr>
          <w:sz w:val="20"/>
          <w:szCs w:val="20"/>
          <w:color w:val="auto"/>
        </w:rPr>
      </w:pPr>
      <w:r>
        <w:rPr>
          <w:rFonts w:ascii="Arial" w:cs="Arial" w:eastAsia="Arial" w:hAnsi="Arial"/>
          <w:sz w:val="17"/>
          <w:szCs w:val="17"/>
          <w:color w:val="auto"/>
        </w:rPr>
        <w:t>As a result, it may be difficult for us to locate third-party suppliers for our anticipated future needs, and our anticipated growth could strain the ability of our current third-party suppliers to deliver products, raw materials and components to us. If we are unable to arrange for third-party suppliers for our materials and products, or to do so on commercially reasonable terms, we may not be able to complete development of or market our products.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introduction of new cGMP or QSR regulations or product specific requirements by a regulatory body may require that we source alternative materials, modify existing manufacturing processes or implement design changes to our products that are subject to prior approval by the FDA or other regulatory authorities. We may also be required to reassess a third-party supplier’s compliance with all applicable new regulations and guidelines, which could further impede our ability to manufacture and supply products in a timely manner. As a result, we could incur increased production costs, experience supply interruptions, suffer damage to our reputation and experience an adverse effect on our business and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reliance on third-party suppliers involves a number of additional risks, including, among other things:</w:t>
      </w:r>
    </w:p>
    <w:p>
      <w:pPr>
        <w:spacing w:after="0" w:line="171" w:lineRule="exact"/>
        <w:rPr>
          <w:sz w:val="20"/>
          <w:szCs w:val="20"/>
          <w:color w:val="auto"/>
        </w:rPr>
      </w:pPr>
    </w:p>
    <w:p>
      <w:pPr>
        <w:ind w:left="680" w:right="1720" w:hanging="375"/>
        <w:spacing w:after="0" w:line="317"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suppliers may fail to comply with regulatory requirements or make errors in manufacturing raw materials, components or products that could negatively affect the efficacy or safety of our products or cause delays in shipments of our products;</w:t>
      </w:r>
    </w:p>
    <w:p>
      <w:pPr>
        <w:ind w:left="680" w:right="1720" w:hanging="375"/>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price fluctuations by suppliers due to terms within long-term supply arrangements or lack of long-term supply arrangements for key materials and products;</w:t>
      </w:r>
    </w:p>
    <w:p>
      <w:pPr>
        <w:spacing w:after="0" w:line="8" w:lineRule="exact"/>
        <w:rPr>
          <w:rFonts w:ascii="Arial" w:cs="Arial" w:eastAsia="Arial" w:hAnsi="Arial"/>
          <w:sz w:val="18"/>
          <w:szCs w:val="18"/>
          <w:color w:val="auto"/>
        </w:rPr>
      </w:pPr>
    </w:p>
    <w:p>
      <w:pPr>
        <w:ind w:left="680" w:right="1720" w:hanging="375"/>
        <w:spacing w:after="0" w:line="317"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suppliers may lose access to critical services or sustain damage to a facility, including losses due to natural disasters or geo-political events, that may result in a sustained interruption in the manufacture and supply of our products;</w:t>
      </w:r>
    </w:p>
    <w:p>
      <w:pPr>
        <w:ind w:left="680" w:right="1720" w:hanging="375"/>
        <w:spacing w:after="0" w:line="317" w:lineRule="auto"/>
        <w:tabs>
          <w:tab w:leader="none" w:pos="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fluctuations in demand for our products or a supplier’s demand from other customers may affect their ability or willingness to deliver materials or products in a timely manner or may lead to long-term capacity constraints at the supplier;</w:t>
      </w:r>
    </w:p>
    <w:p>
      <w:pPr>
        <w:ind w:left="680" w:right="1720" w:hanging="375"/>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find new or alternative sources or reconfigure our products and manufacturing processes in a timely manner if a necessary raw material or components becomes unavailable; and</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suppliers may encounter financial or other hardships unrelated to our demand for materials, products and services, which could inhibit their ability to fulfill our orders and meet our requirements.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 above risks materialize and we are unable to satisfy commercial demand for our products in a timely manner, our ability to generate revenue would be impaired, market acceptance of our products could be adversely affected, and customers may instead purchase or use our competitors’ products. In addition, we could be forced to secure new materials or develop alternative third-party suppliers, which can be difficult given our product complexity, long development lead-times and global regulatory review processes.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 the future elect to manufacture certain new or existing products ourselves, without the assistance of third-party suppliers. However, in order to make that election, we will need to invest substantial additional funds and recruit qualified personnel in order to operate our own manufacturing facility on a commercial basis. There can be no assurance that we will be able to successfully manufacture our own products, and if we are not able to make or obtain adequate supplies of our raw materials, components or products, it will be more difficult for us to launch new products, supply our current markets and compete effectively.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our third-party manufacturers of our product candidates are unable to increase the scale of their production of our product candidates, or increase the product yield of manufacturing, then our costs to manufacture the product may increase and commercialization may be delayed.</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produce sufficient quantities to meet the demand for clinical trials and subsequent commercialization of our Glucagon Rescue Pen or any of our other product candidates in our pipeline or that we may develop, our third-party manufacturers will be required to increase their production and automate and otherwise optimize their manufacturing processes while maintaining the quality of the product. The transition to larger scale production could prove difficult. In addition, if our third-party manufacturers are not able to automate and otherwise optimize their manufacturing process to increase the product yield for our Glucagon Rescue Pen and other components of our product candidates, or if they are unable to produce increased amounts of our product candidates while maintaining quality, then we may not be able to meet the demands of clinical trials or market demands, which could decrease our ability to generate revenues and have a material adverse impact on our business and results of operations.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normal course of business, we periodically have entered, and in the future may enter, into academic, commercial, service, collaboration, licensing, feasibility, consulting and other agreements that contain indemnification provisions. We have in the past and may in the future agree to indemnify the counterparties from losses arising from claims relating to the products, processes or services made, used, sold or performed. We may also agree to indemnify our vendors from any third-party product liability claims that could result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8"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t>from the production, use or consumption of the product, as well as for alleged infringements of any patent or other intellectual property right by a third party.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Should our obligation under an indemnification provision exceed applicable insurance coverage or if we were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does not have other assets available to indemnify us, our business, financial condition and results of operations could be adversely affected.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seek one or more collaborators for the development and commercialization of one or more of our product candidates, particularly with respect to our pipeline product candidates or foreign geographies. Likely collaborators may include large and mid-size pharmaceutical companies, regional and national pharmaceutical companies and biotechnology companies.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proprietary technology, as well as the ability of our collaborators to protect their intellectual property and proprietary technology.</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success depends in large part on our ability to obtain and maintain patent protection and trade secret protection in the United States and other countries with respect to our proprietary product candidates.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novel product candidates that are important to our business; we may in the future also license or purchase patent applications filed by others. The patent application and approval process is expensive and time-consuming. We may not be able to file and prosecute all necessary or desirable patent applications at a reasonable cost or in a timely manner.</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scope of the patent protection we or our potential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assure you that those licenses will remain in force.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8" w:right="2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color w:val="auto"/>
        </w:rPr>
        <w:t>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Although we currently own all of our patents and our patent applications, similar risks would apply to any patents or patent applications that we may in-license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patent position of biotechnology and pharmaceutical companies generally is highly uncertain. No consistent policy regarding the breadth of claims allowed in biotechnology and pharmaceutical patents has emerged to date in the United States or in many foreign jurisdictions. In addition, the determination of patent rights with respect to pharmaceutical compounds commonly involves complex legal and factual questions, which has in recent years been the subject of much litigation. As a result, the issuance, scope, validity, enforceability and commercial value of our patent rights are highly uncertain.</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because the issuance of a patent is not conclusive as to its inventorship, scope, validity or enforceability, our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USPTO and/or to other patent offices around the world. Alternately or additionally, we may become involved in post-grant review procedures, oppositions, derivations proceedings, reexaminations, inter partes review or interference proceedings, in the United States or elsewhere, challenging patents or patent applications in which we have rights, including patents on which we rely to protect our business.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Pending and future patent applications may not result in patents being issued which protect our business,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United States law does.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future development partners will be successful in protecting our product candidates by obtaining and defending patents. These risks and uncertainties include the following:</w:t>
      </w:r>
    </w:p>
    <w:p>
      <w:pPr>
        <w:spacing w:after="0" w:line="93" w:lineRule="exact"/>
        <w:rPr>
          <w:sz w:val="20"/>
          <w:szCs w:val="20"/>
          <w:color w:val="auto"/>
        </w:rPr>
      </w:pPr>
    </w:p>
    <w:p>
      <w:pPr>
        <w:jc w:val="both"/>
        <w:ind w:left="680" w:right="1720" w:hanging="375"/>
        <w:spacing w:after="0" w:line="25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6" w:lineRule="exact"/>
        <w:rPr>
          <w:rFonts w:ascii="Arial" w:cs="Arial" w:eastAsia="Arial" w:hAnsi="Arial"/>
          <w:sz w:val="18"/>
          <w:szCs w:val="18"/>
          <w:color w:val="auto"/>
        </w:rPr>
      </w:pPr>
    </w:p>
    <w:p>
      <w:pPr>
        <w:ind w:left="680" w:hanging="375"/>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8" w:right="239" w:bottom="1440" w:gutter="0" w:footer="0" w:header="0"/>
        </w:sectPr>
      </w:pPr>
    </w:p>
    <w:bookmarkStart w:id="44" w:name="page45"/>
    <w:bookmarkEnd w:id="44"/>
    <w:p>
      <w:pPr>
        <w:ind w:left="680" w:right="1720" w:hanging="375"/>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that may be issued may be challenged, invalidated, modified, revoked, circumvented, found to be unenforceable or otherwise may not provide any competitive advantage;</w:t>
      </w:r>
    </w:p>
    <w:p>
      <w:pPr>
        <w:spacing w:after="0" w:line="8" w:lineRule="exact"/>
        <w:rPr>
          <w:rFonts w:ascii="Arial" w:cs="Arial" w:eastAsia="Arial" w:hAnsi="Arial"/>
          <w:sz w:val="18"/>
          <w:szCs w:val="18"/>
          <w:color w:val="auto"/>
        </w:rPr>
      </w:pPr>
    </w:p>
    <w:p>
      <w:pPr>
        <w:jc w:val="both"/>
        <w:ind w:left="680" w:right="1720" w:hanging="375"/>
        <w:spacing w:after="0" w:line="26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w:t>
      </w:r>
    </w:p>
    <w:p>
      <w:pPr>
        <w:spacing w:after="0" w:line="19" w:lineRule="exact"/>
        <w:rPr>
          <w:rFonts w:ascii="Arial" w:cs="Arial" w:eastAsia="Arial" w:hAnsi="Arial"/>
          <w:sz w:val="18"/>
          <w:szCs w:val="18"/>
          <w:color w:val="auto"/>
        </w:rPr>
      </w:pPr>
    </w:p>
    <w:p>
      <w:pPr>
        <w:jc w:val="both"/>
        <w:ind w:left="680" w:right="1720" w:hanging="375"/>
        <w:spacing w:after="0" w:line="26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9" w:lineRule="exact"/>
        <w:rPr>
          <w:rFonts w:ascii="Arial" w:cs="Arial" w:eastAsia="Arial" w:hAnsi="Arial"/>
          <w:sz w:val="18"/>
          <w:szCs w:val="18"/>
          <w:color w:val="auto"/>
        </w:rPr>
      </w:pPr>
    </w:p>
    <w:p>
      <w:pPr>
        <w:jc w:val="both"/>
        <w:ind w:left="680" w:right="1720" w:hanging="375"/>
        <w:spacing w:after="0" w:line="264"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 in such countries.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Issued patents that we have or may in the future obtain or license may not provide us with any meaningful protection, prevent competitors from competing with us or otherwise provide us with any competitive advantage. Our competitors may be able to circumvent our or our future licensors’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by submitting ANDAs to the FDA in which they claim that patents owned or in the future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future, we may enter into license agreements with third parties pursuant to which they have the right, but not the obligation, in certain circumstances to control enforcement of our licensed patents or defense of any claims asserting the invalidity of these patents. Even if we are permitted to pursue such enforcement or defense, we will require the cooperation of those licensors, and cannot guarantee that we would receive it and on what terms. We cannot be certain that those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rely on the protection of our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third parties may still obtain this information or may come upon this or similar information independently. Additionally, if the steps taken to maintain our trade secrets are deemed inadequate, we may have insufficient recourse against third parties for misappropriating our trade secrets. If any of these events occurs or if we otherwise lose protection for our trade secrets or proprietary know-how, our business may be harmed.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is difficult and costly to protect our intellectual property and our proprietary technologies, and we may not be able to ensure their protection.</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for the use, formulation and structure of our product candidates, the methods used to manufacture them, the related therapeutic targets and associated methods of treatment as well as on successfully defending these patents against potential third-party challenges. Our ability to protect our products and product candidates from unauthorized making, using, selling, offering to sell or importing by third parties is dependent on the extent to which we have rights under valid and enforceable patents that cover these activities.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positions of pharmaceutical, biotechnology and other life sciences companies can be highly uncertain and involve complex legal and factual questions for which important legal principles remain unresolved. Changes in either the patent laws or in interpretations of patent laws in the United States and other countries may diminish the value of our intellectual property. Further, the determination that a patent application or patent claim meets all of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We have not conducted searches for third-party publications, patents and other information that may affect the patentability of claims in our various patent applications and patents, so we cannot be certain that all relevant information has been identified. Accordingly, we cannot predict the breadth of claims that may be allowed or enforced in our patents or patent applications, in any future licensed patents or patent applications or in third-party patents.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provide assurances that any of our patent applications will be found to be patentable, including over our own prior art patents, or will issue as patents. Neither can we make assurances as to the scope of any claims that may issue from our pending and future patent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applications nor to the outcome of any proceedings by any potential third parties that could challenge the patentability, validity or enforceability of our patents and patent applications in the United States or foreign jurisdictions. Any such challenge, if successful, could limit patent protection for our products and product candidates and/or materially harm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6" w:lineRule="exact"/>
        <w:rPr>
          <w:sz w:val="20"/>
          <w:szCs w:val="20"/>
          <w:color w:val="auto"/>
        </w:rPr>
      </w:pPr>
    </w:p>
    <w:p>
      <w:pPr>
        <w:ind w:left="680" w:right="1720" w:hanging="318"/>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generate sufficient data to support full patent applications that protect the entire breadth of developments in one or more of our programs;</w:t>
      </w:r>
    </w:p>
    <w:p>
      <w:pPr>
        <w:spacing w:after="0" w:line="8" w:lineRule="exact"/>
        <w:rPr>
          <w:rFonts w:ascii="Arial" w:cs="Arial" w:eastAsia="Arial" w:hAnsi="Arial"/>
          <w:sz w:val="18"/>
          <w:szCs w:val="18"/>
          <w:color w:val="auto"/>
        </w:rPr>
      </w:pPr>
    </w:p>
    <w:p>
      <w:pPr>
        <w:jc w:val="both"/>
        <w:ind w:left="680" w:right="1720" w:hanging="318"/>
        <w:spacing w:after="0" w:line="291" w:lineRule="auto"/>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it is possible that one or more of our pending patent applications will not become an issued patent or, if issued, that the patent(s) will not: (a) be sufficient to protect our technology, (b) provide us with a basis for commercially viable products or</w:t>
      </w:r>
    </w:p>
    <w:p>
      <w:pPr>
        <w:ind w:left="680"/>
        <w:spacing w:after="0"/>
        <w:rPr>
          <w:rFonts w:ascii="Arial" w:cs="Arial" w:eastAsia="Arial" w:hAnsi="Arial"/>
          <w:sz w:val="16"/>
          <w:szCs w:val="16"/>
          <w:color w:val="auto"/>
        </w:rPr>
      </w:pPr>
      <w:r>
        <w:rPr>
          <w:rFonts w:ascii="Arial" w:cs="Arial" w:eastAsia="Arial" w:hAnsi="Arial"/>
          <w:sz w:val="18"/>
          <w:szCs w:val="18"/>
          <w:color w:val="auto"/>
        </w:rPr>
        <w:t>(c) provide us with any competitive advantages;</w:t>
      </w:r>
    </w:p>
    <w:p>
      <w:pPr>
        <w:spacing w:after="0" w:line="48" w:lineRule="exact"/>
        <w:rPr>
          <w:rFonts w:ascii="Arial" w:cs="Arial" w:eastAsia="Arial" w:hAnsi="Arial"/>
          <w:sz w:val="16"/>
          <w:szCs w:val="16"/>
          <w:color w:val="auto"/>
        </w:rPr>
      </w:pPr>
    </w:p>
    <w:p>
      <w:pPr>
        <w:ind w:left="680" w:right="1720" w:hanging="318"/>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our pending applications issue as patents, they may be challenged by third parties as not infringed, invalid or unenforceable under U.S. or foreign laws; or</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issued, the patents under which we hold rights may not be valid or enforceable.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extent that we are unable to obtain and maintain patent protection for one of our products or product candidates or in the event that such patent protection expires, it may no longer be cost-effective to extend our portfolio by pursuing additional development of a product or product candidate for follow-on indications.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may rely on trade secrets to protect our technologies or products,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advisers may unintentionally or willfully disclose our information to competitors. Enforcing a claim that a third-party entity illegally obtained and is using any of our trade secrets is expensive and time-consuming, and the outcome is unpredictable. In addition, courts outside the United States are sometimes less willing to protect trade secrets. Moreover, our competitors may independently develop equivalent knowledge, methods and know-how.</w:t>
      </w:r>
    </w:p>
    <w:p>
      <w:pPr>
        <w:spacing w:after="0" w:line="19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Where available, we will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Others may challenge inventorship or claim an ownership interest in our intellectual property which could expose it to litigation and have a significant adverse effect on its prospects.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third party or former employee or collaborator may claim an ownership interest in one or more of our patents or other proprietary or intellectual property rights. A third party could bring legal actions against us and seek monetary damages and/or enjoin clinical testing, manufacturing and marketing of the affected product or products. While we are presently unaware of any claims or assertions by third parties with respect to our patents or other intellectual property, we cannot guarantee that a third party will not assert a claim or an interest in any of such patents or intellectual property. If we become involved in any litigation, it could consume a substantial portion of our resources and cause a significant diversion of effort by our technical and management personnel.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New patent reform legislation in the United States, including the Leahy-Smith America Invents Act, or the America Invents Act, signed into law in September 2011, could increase those uncertainties and costs. The America Invents Act includes a number of significant changes to U.S. patent law, including provisions that affect the way patent applications are prosecuted, redefining prior art and providing more efficient and cost-effective avenues for competitors to challenge the validity of patents. In addition, the America Invents Act has reformed the United States patent law in part by changing the U.S. patent system from a “first to invent” system to a “first inventor to file” system. The first inventor to file provision, however, only became effective on March 16, 2013, so it is still not yet clear what, if any, impact the America Invents Act will have on the operations of our business. The America Invents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the America Invents Act created new procedures to challenge the validity of issued patents in the United States, including post-grant review and inter partes review proceedings, which some third parties have been using to cause the cancellation of selected or all claims of issued patents. For a patent with an effective filing date of March 16, 2013 or later, a petition for post-grant review can be filed by a third party in a nine month window from issuance of the patent. A petition for inter partes review can be filed immediately following the issuance of a patent if the patent has an effective filing date prior to March 16, 2013. A petition for inter partes review can be filed after the nine 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In these adversarial actions, the USPTO reviews patent claims without the presumption of validity afforded to U.S. patents in lawsuits in U.S. federal courts and uses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would result in a loss of the challenged patent right to us.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Filing, prosecuting, enforcing and defending patents on our product candidates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 candidates.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Agreements through which we may license patent rights may not give us sufficient rights to permit us to pursue enforcement of those licensed patents or defense of any claims asserting the invalidity of these patents (or control of enforcement or defense) of such patent rights in all relevant jurisdictions as requirements may vary.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may not prevail in any lawsuits that we initiate and the damages or other remedies awarded, if any, may not be commercially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Others may claim an ownership interest in our intellectual property which could expose us to litigation and have a significant adverse effect on our prospects.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third party may claim an ownership interest in one or more of our patents or other proprietary or intellectual property rights. A third party could bring legal actions against us and seek monetary damages and/or enjoin clinical testing, manufacturing and marketing of the affected product or products. While we are presently unaware of any claims or assertions by third parties with respect to our patents or other intellectual property, we cannot guarantee that a third party will not assert a claim or an interest in any of such patents or intellectual property. If we become involved in any litigation, it could consume a substantial portion of our resources and cause a significant diversion of effort by our technical and management personnel. If any of these actions are successful, in addition to any potential liability for damages, we could be required to obtain a license to continue to manufacture or market the affected product, in which case we may be required to pay substantial royalties or grant cross-licenses to our patents. We cannot, however, assure you that any such license will be available on acceptable terms, if at all. Ultimately, we could be prevented from commercializing a product candidate,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pharmaceutical industry is characterized by frequent patent litigation and we could become subject to litigation that could be costly, result in the diversion of management’s time and efforts, require us to pay damages or prevent us from marketing our existing or future products.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Generally, we do not conduct independent reviews of patents issued to third parties. The large number of patents, the rapid rate of new patent issuances, the complexities of the technology involved, and uncertainty of litigation increase the risk of business assets and management’s attention being diverted to patent litigation. We may receive in the future, particularly as a public company, communications from various industry participants alleging our infringement of their patents, trade secrets, or other intellectual property rights and/or offering licenses to such intellectual property. Any lawsuits resulting from such allegations could subject us to significant liability for damages and invalidate our proprietary rights. Any potential intellectual property litigation also could force us to do one or more of the following:</w:t>
      </w:r>
    </w:p>
    <w:p>
      <w:pPr>
        <w:spacing w:after="0" w:line="128" w:lineRule="exact"/>
        <w:rPr>
          <w:sz w:val="20"/>
          <w:szCs w:val="20"/>
          <w:color w:val="auto"/>
        </w:rPr>
      </w:pPr>
    </w:p>
    <w:p>
      <w:pPr>
        <w:ind w:left="680" w:hanging="37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contains the allegedly infringing intellectual property;</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and/or infeasible; or</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In connection with such litigation or claims, we may be required to obtain licenses or make changes to our products or technologies, and if we fail to do so, we may have to withdraw existing products from the market or may be unable to commercialize one or more of our products, all of which could have a material adverse effect on our business, results of operations and financial condition.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Many of our employees were previously employed at other pharmaceutical companies, including our competitors or potential competitors, in some cases until recently. We may be subject to claims that we or our employees have inadvertently or otherwise used or disclosed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8" w:right="239" w:bottom="1440" w:gutter="0" w:footer="0" w:header="0"/>
        </w:sectPr>
      </w:pPr>
    </w:p>
    <w:bookmarkStart w:id="48" w:name="page49"/>
    <w:bookmarkEnd w:id="48"/>
    <w:p>
      <w:pPr>
        <w:jc w:val="both"/>
        <w:spacing w:after="0" w:line="293" w:lineRule="auto"/>
        <w:rPr>
          <w:sz w:val="20"/>
          <w:szCs w:val="20"/>
          <w:color w:val="auto"/>
        </w:rPr>
      </w:pPr>
      <w:r>
        <w:rPr>
          <w:rFonts w:ascii="Arial" w:cs="Arial" w:eastAsia="Arial" w:hAnsi="Arial"/>
          <w:sz w:val="16"/>
          <w:szCs w:val="16"/>
          <w:color w:val="auto"/>
        </w:rPr>
        <w:t>trade secrets or other proprietary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Competitors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unpatented trade secrets, know-how, confidential and proprietary information, and technology may be inadequately protected.</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in part on unpatented trade secrets, know-how and technology. This intellectual property is difficult to protect, especially in the pharmaceutical industry, where much of the information about a product must be submitted to regulatory authorities during the regulatory approval process. We seek to protect trade secrets, confidential information and proprietary information, in part, by entering into confidentiality and invention assignment agreements with employees, consultants, and others. These parties may breach or terminate these agreements, and we may not have adequate remedies for such breaches. Furthermore, these agreements may not provide meaningful protection for our trade secrets or other confidential or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and our other confidential and proprietary information, we or our collaboration partners, board members, employees, consultants, contractors, or scientific and other advisors may unintentionally or willfully disclose our proprietary information to competitors.</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our trade secrets and other confidential and proprietary information could have been, or could, in the future, be shared by any of our former employees with, and be used to the benefit of, any company that competes with 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fail to maintain trade secret protection or fail to protect the confidentiality of our other confidential and proprietary information,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 protections against them, which could have a material adverse effect on our business.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submitted our NDA for our Glucagon Rescue Pen in the third quarter of 2018 under Section 505(b)(2) of the FDCA, and we expect to submit NDAs for our other product candidates, to the FDA for approval under that section. Section 505(b)(2) permits the submission of an NDA where at least some of the information required for approval comes from preclinical studies and/or clinical trials that were not conducted by, or for, the applicant and for which the applicant has not obtained a right of reference. An NDA under Section 505(b)(2) would enable us to reference published literature and/or the FDA’s previous findings of safety and effectiveness for a previously approved drug.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NDAs submitted under Section 505(b)(2), the patent certification and related provisions of the Hatch-Waxman Act apply. Accordingly, if we rely for approval on the safety or effectiveness information for a previously approved drug, referred to as a listed drug, we will be required to include patent certifications in our 505(b)(2) application regarding any patents covering the listed drug. If there are patents listed in the FDA publication Approved Drug Products with Therapeutic Equivalence Evaluations, commonly known as the Orange Book, for the listed drug, and we seek to obtain approval prior to the expiration of one or more of those patents, we will be required to submit a Paragraph IV certification indicating our belief that the relevant patents are invalid, unenforceable or will not be infringed by the manufacture, use or sale of the product that is the subject of our 505(b)(2) application. Otherwise, our 505(b)(2) application cannot be approved by the FDA until the expiration of any patents listed in the Orange Book for the listed drug. While we did not submit any Paragraph IV certifications in connection with our 505(b)(2) NDA for our Glucagon Rescue Pen, and do not expect to submit any Paragraph IV certifications for our other current product candidates, there can be no assurance that we will not be required to submit a Paragraph IV certification in respect of any future product candidates for which we seek approval under Section 505(b)(2).</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submit any Paragraph IV certification that may be required, we will be required to provide notice of that certification to the NDA holder and patent owner shortly after our 505(b)(2) application is accepted for filing. Under the Hatch-Waxman Act, the patent owner may file a patent infringement lawsuit after receiving such notice. If a patent infringement lawsuit is filed within 45 days of the patent owner’s or NDA holder’s receipt of notice (whichever is later), a one-time, automatic stay of the FDA’s ability to approve the 505(b)(2) NDA is triggered, which typically extends for 30 months unless patent litigation is resolved in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 505(b)(2) application will not be approved until any non-patent exclusivity listed in the Orange Book for the listed drug, or for any other drug with the same protected conditions of approval as our product, has expired. The FDA also may require us to perform one or more additional clinical trials or measurements to support the change from the listed drug, which could be time consuming and could substantially delay our achievement of regulatory approval. The FDA also may reject any future 505(b)(2) submissions and require us to submit traditional NDAs under Section 505(b)(1), which would require extensive data to establish safety and effectiveness of the product for the proposed use and could cause delay and additional costs. In addition, the FDA could reject any future 505(b)(2) application and require us to submit an ANDA if, before the submission of our 505(b)(2) application, the FDA approves an application for a product that is pharmaceutically equivalent to ours. These factors, among others, may limit our ability to commercialize our product candidates successfully.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Risks Related to Employee Matters, Managing Growth and Ongoing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face liability claims related to the use or misuse of our product candidates and, if approved, our products. These claims may be expensive to defend and may result in large judgments against us. During the course of treatment, patients using our product candidates could suffer adverse medical effects for reasons that may or may not be related to our product candidates. We will face even greater risks upon any commercialization by us of our product candidates. Any of these events could result in a claim of liability. Any such claims against us, regardless of their merit, could result in significant costs to defend or awards against us that could materially harm our business, financial condition or results of operations. In addition, any such claims against us could result in a distraction to management, decreased demand for our products, an adverse effect on our public reputation, and/or difficulties in commercializing our products. To date, we have not received notice of any product liability claims against us. We maintain total product liability insurance coverage of $5.0 million.</w:t>
      </w:r>
    </w:p>
    <w:p>
      <w:pPr>
        <w:spacing w:after="0" w:line="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maintain product liability insurance for claims arising from the use of our product candidates in clinical trials prior to FDA approval and for claims arising from the use of our products after FDA approval at levels that we believe are appropriate, we may not be able to maintain our existing insurance coverage or obtain additional coverage on commercially reasonable terms for the use of our other product candidates and products in the future. Also, our insurance coverage and resources may not be sufficient to satisfy any liability resulting from product liability claims, which could materially harm our business, financial condition or results of operations.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liability claims could result in an FDA or other regulatory authority investigation of the safety or efficacy of our products, our manufacturing processes and facilities, our marketing programs, our internal safety reporting systems or our staff conduct. A regulatory authority investigation could also potentially lead to a recall of our products or more serious enforcement actions, limitations on the indications for which they may be used, or suspension or withdrawal of approval. Product liability claims could also result in investigation, prosecution or enforcement action by the DOJ or other federal or state government agencies.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or if we are not able to attract and retain other key employees and consultants.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dependent upon the continued services of key members of our executive management and a limited number of key advisors and personnel. In particular, we are highly dependent on the skills and leadership of our executive management team, including Paul Edick, our Chief Executive Officer, Barry Deutsch, our Chief Financial Officer, Steven Prestrelski, our Chief Scientific Officer and Co-Founder, John Shannon, our Chief Operating Officer, Ken Johnson, our Senior Vice President, Clinical Development, Regulatory, Quality Assurance and Medical Affairs, Beth Hecht, our General Counsel and Corporate Secretary, and Allison Wey, our Senior Vice President, Investor Relations and Corporate Communications. The loss of any one of these individuals could disrupt our operations or our strategic plans. Our industry has experienced a high rate of turnover of management personnel in recent years. Any of our personnel may terminate their employment at will.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our future success will depend on, among other things, our ability to continue to hire and retain the necessary qualified scientific, technical and managerial personnel, for whom we compete with numerous other companies, academic institutions and organizations.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we may encounter difficulties managing our growth.</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2018, we had 70 employees. As our product candidates continue to progress toward potential approval and commercialization, we anticipate the need to hire additional employees as required to add depth and specialized expertise to our team. This growth could place a strain on our administrative and operational infrastructure. If the product candidates that we are developing continue to advance in clinical trials, we will need to expand our development, regulatory, manufacturing, quality, compliance, recordkeeping, information technology, training, marketing and sales capabilities or contract with third parties to provide these capabilities for us. As our operations expand, we expect that we will need to develop additional relationships with various collaborators, CROs, suppliers, manufacturers and other organizations. We may not be able to establish such relationships or may incur significant costs to do</w:t>
      </w:r>
    </w:p>
    <w:p>
      <w:pPr>
        <w:sectPr>
          <w:pgSz w:w="11900" w:h="16838" w:orient="portrait"/>
          <w:cols w:equalWidth="0" w:num="1">
            <w:col w:w="11420"/>
          </w:cols>
          <w:pgMar w:left="240" w:top="364"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364" w:right="239" w:bottom="1440" w:gutter="0" w:footer="0" w:header="0"/>
          <w:type w:val="continuous"/>
        </w:sectPr>
      </w:pPr>
    </w:p>
    <w:bookmarkStart w:id="51" w:name="page52"/>
    <w:bookmarkEnd w:id="51"/>
    <w:p>
      <w:pPr>
        <w:jc w:val="both"/>
        <w:spacing w:after="0" w:line="257" w:lineRule="auto"/>
        <w:rPr>
          <w:sz w:val="20"/>
          <w:szCs w:val="20"/>
          <w:color w:val="auto"/>
        </w:rPr>
      </w:pPr>
      <w:r>
        <w:rPr>
          <w:rFonts w:ascii="Arial" w:cs="Arial" w:eastAsia="Arial" w:hAnsi="Arial"/>
          <w:sz w:val="18"/>
          <w:szCs w:val="18"/>
          <w:color w:val="auto"/>
        </w:rPr>
        <w:t>so. Our ability to manage our growth will also require us to continue to improve our operational, financial and management controls, reporting systems and procedures, and other compliance programs and processes, which will further increase our operating costs. Failure to manage our growth effectively could cause us to over-invest or under-invest in infrastructure, and result in losses or weaknesses in our infrastructure, which could adversely affect us. Additionally, our anticipated growth will increase the demands placed on our suppliers, resulting in an increased need for us to monitor our suppliers carefully for quality assurance, and our business could suffer.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maintain high levels of inventory, which could consume a significant amount of our resources and reduce our cash flows.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need to maintain substantial levels of inventory due to single third-party sourcing and long lead-time to develop alternate third-party sources, we intend to carry a high level of inventory for strategic materials and products and are subject to the risk of inventory obsolescence.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continue to incur significant additional costs which may adversely affect our operating results and financial condition.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continue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The Nasdaq Global Select Market. These rules and regulations have increased our accounting, legal and financial compliance costs and make some activities more time-consuming and costly. In addition, we will continue to incur additional costs associated with our public company reporting requirements and we expect those costs to continue to increase in the future. For example, we are required to devote significant resources to complete the assessment and documentation of our internal control system and financial process under Section 404 of the Sarbanes-Oxley Act, including an assessment of the design of our information systems associated with our internal controls.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our IPO, we had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timely file accurate quarterly and annual reports with the SEC under the Securities Exchange Act of 1934, or the Exchange Act, as amended. Any failure to report our financial results on an accurate and timely basis could result in sanctions, lawsuits, delisting of our shares from The Nasdaq Global Select Market or other adverse consequences. We will incur significant costs to remediate any material weaknesses we identify through these efforts. We also expect these rules and regulations to make it more expensive for us to maintain directors’ and officers’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our board committees or as executive officers. We cannot predict or estimate the amount of additional costs we may incur or the timing of such costs.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laws and regulations, as well as changes to existing laws and regulations affecting public companies, including the provisions of the Sarbanes-Oxley Act, the Dodd-Frank Act and rules adopted by the SEC and The Nasdaq Global Select Market, would likely result in increased costs to us as we respond to their requirements, which may adversely affect our operating results and financial condition.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in our audit for the fiscal year ended December 31, 2017. If we fail to remediate this weakness or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required under Section 404 of the Sarbanes-Oxley Act to furnish a report by management on, among other things, the effectiveness of our internal control over financial reporting beginning with our Annual Report on Form 10-K for the year ended December 31, 2019.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further enhance the computer systems processes and related documentation necessary to perform the evaluation needed to comply with Section 404. We may not be able to complete our evaluation, testing and any required remediation in a timely fashion. During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2" w:name="page53"/>
    <w:bookmarkEnd w:id="52"/>
    <w:p>
      <w:pPr>
        <w:spacing w:after="0" w:line="308" w:lineRule="auto"/>
        <w:rPr>
          <w:sz w:val="20"/>
          <w:szCs w:val="20"/>
          <w:color w:val="auto"/>
        </w:rPr>
      </w:pPr>
      <w:r>
        <w:rPr>
          <w:rFonts w:ascii="Arial" w:cs="Arial" w:eastAsia="Arial" w:hAnsi="Arial"/>
          <w:sz w:val="17"/>
          <w:szCs w:val="17"/>
          <w:color w:val="auto"/>
        </w:rPr>
        <w:t>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93" w:lineRule="exact"/>
        <w:rPr>
          <w:sz w:val="20"/>
          <w:szCs w:val="20"/>
          <w:color w:val="auto"/>
        </w:rPr>
      </w:pPr>
    </w:p>
    <w:p>
      <w:pPr>
        <w:ind w:left="680" w:hanging="31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faulty human judgment and simple errors, omissions or mistakes;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fraudulent action of an individual or collusion of two or more people;</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inappropriate management override of procedures; and</w:t>
      </w:r>
    </w:p>
    <w:p>
      <w:pPr>
        <w:spacing w:after="0" w:line="63"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example, for the year ended December 31, 2017, we identified a material weakness in our internal control over financial reporting due to a lack of proper segregation of duties within our finance and accounting function. This weakness was due to our inability to implement the appropriate segregation of duties within our historical enterprise resource planning, or ERP, system. Since August 2017, we have made efforts to design manual controls to mitigate the risk. In addition, in December 2017, we implemented a new ERP system. If we are unable to conclude that our internal control over financial reporting is effective or take effective remedial measures to improve our internal control, we could lose investor confidence in the accuracy and completeness of our financial reports, which would likely cause the price of our common stock to decline.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 internal controls, we could lose investor confidence in the accuracy and completeness of our financial reports, which would cause the price of our common stock to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accounting, data storage, compliance, purchasing and inventory management. Our current systems are not fully redundant. While we will attempt to mitigate interruptions, we may experience difficulties in implementing some upgrades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 result of the current implementation of our information technology systems, we may not be able to repair our systems in an efficient and timely manner. Accordingly, such events may disrupt or reduce the efficiency of our entire operation and have a material adverse effect on our results of operations and cash flows.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Despite our implementation of security measures, our information systems, like those of other companies, are vulnerable to damages from computer viruses, natural disasters, unauthorized access, cyber attack and other similar disruptions. Any system failure, accident or security breach could result in disruptions to our operations. For example, third parties may attempt to hack into systems and may obtain our proprietary information, which could cause significant damage to our reputation, lead to claims against the Company and ultimately harm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insurance cost and availability could adversely affect our profitability or our risk management profile.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hold a number of insurance policies, including product liability insurance, directors’ and officers’ liability insurance, general liability insurance, property insurance and workers’ compensation insurance. If the costs of maintaining adequate insurance coverage increase significantly in the future, our operating results could be materially adversely affected. Likewise, if any of our current insurance coverage should become unavailable to us or become economically impractical, we would be required to operate our business without indemnity from commercial insurance providers. If we operate our business without insurance, we could be responsible for paying claims or judgments against us that would have otherwise been covered by insurance, which could adversely affect our results of operations or financial condition.</w:t>
      </w:r>
    </w:p>
    <w:p>
      <w:pPr>
        <w:spacing w:after="0" w:line="193"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any acquisitions or investments, or the failure to integrate them with our existing business, could have a material adverse effect on us.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acquisitions and strategic investments involve numerous risks, including: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3" w:name="page54"/>
    <w:bookmarkEnd w:id="53"/>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no current commitments with respect to any acquisition or investment and we have never entered into or completed an acquisition. We do not know if we will be able to identify suitable acquisitions, complete any such acquisitions on favorable terms or at all, successfully integrate any acquired business, product or technology into our business or retain any key personnel, suppliers or distributors. Our ability to grow through acquisitions successfully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integrate any acquired businesses, products or technologies effectively, our business, results of operations and financial condition will be materially adversely affected.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to our reputation.</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or misrepresentation of information obtained in the course of clinical trials, creating fraudulent data in our preclinical studies or clinical</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30" w:right="239" w:bottom="1440" w:gutter="0" w:footer="0" w:header="0"/>
        </w:sectPr>
      </w:pPr>
    </w:p>
    <w:bookmarkStart w:id="54" w:name="page55"/>
    <w:bookmarkEnd w:id="54"/>
    <w:p>
      <w:pPr>
        <w:jc w:val="both"/>
        <w:spacing w:after="0" w:line="293" w:lineRule="auto"/>
        <w:rPr>
          <w:sz w:val="20"/>
          <w:szCs w:val="20"/>
          <w:color w:val="auto"/>
        </w:rPr>
      </w:pPr>
      <w:r>
        <w:rPr>
          <w:rFonts w:ascii="Arial" w:cs="Arial" w:eastAsia="Arial" w:hAnsi="Arial"/>
          <w:sz w:val="16"/>
          <w:szCs w:val="16"/>
          <w:color w:val="auto"/>
        </w:rPr>
        <w:t>trials or illegal misappropriation of product materials,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newly enacted federal income tax law,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to 80% of current year taxable income and elimination of net operating loss carrybacks, in each case, for losses arising in taxable years beginning after December 31, 2017 (though any such net operating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We continue to examine the impact this tax reform legislation may have on our business. The overall impact of the new federal tax law is uncertain and our business and financial condition could be adversely affected. In addition, it is uncertain how various states will respond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 or be sustained.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our IPO in June 2018, there was no public market for our common stock. Although our common stock is listed on The Nasdaq Global Select Market, an active trading market may not develop, or, if developed, may not be sustained. The lack of an active market may impair your ability to sell your shares at the time you wish to sell them or at a price that you consider reasonable.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lack of an active market may also reduce the fair market value or the trading price of your shares. An inactive market may also impair our ability to raise capital to continue to fund operations by selling shares and may impair our ability to acquire other companies or technologies by using our shares as consideration. The price at which our common stock trades may decline below the price at which you purchase our shares, and you may experience a significant decrease in the value of the common stock you purchase regardless of our operating performance or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shares of our common stock at or above the price you paid.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may be highly volatile and could be subject to large fluctuations in response to the risk factors discussed in this section, and others beyond our control, including:</w:t>
      </w:r>
    </w:p>
    <w:p>
      <w:pPr>
        <w:spacing w:after="0" w:line="116" w:lineRule="exact"/>
        <w:rPr>
          <w:sz w:val="20"/>
          <w:szCs w:val="20"/>
          <w:color w:val="auto"/>
        </w:rPr>
      </w:pPr>
    </w:p>
    <w:p>
      <w:pPr>
        <w:ind w:left="680" w:right="1720" w:hanging="318"/>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results of applications for FDA review and approval of our Glucagon Rescue Pen and other regulatory actions with respect to our product candidates;</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competitors’ products and product candidates;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63"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results of clinical trials of our pipeline product candidates;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63"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63" w:lineRule="exact"/>
        <w:rPr>
          <w:rFonts w:ascii="Arial" w:cs="Arial" w:eastAsia="Arial" w:hAnsi="Arial"/>
          <w:sz w:val="18"/>
          <w:szCs w:val="18"/>
          <w:color w:val="auto"/>
        </w:rPr>
      </w:pPr>
    </w:p>
    <w:p>
      <w:pPr>
        <w:ind w:left="680" w:right="1720" w:hanging="318"/>
        <w:spacing w:after="0" w:line="277"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pricing and reimbursement of our Glucagon Rescue Pen, if approved, and of other product candidates that may be approved;</w:t>
      </w:r>
    </w:p>
    <w:p>
      <w:pPr>
        <w:spacing w:after="0" w:line="8" w:lineRule="exact"/>
        <w:rPr>
          <w:rFonts w:ascii="Arial" w:cs="Arial" w:eastAsia="Arial" w:hAnsi="Arial"/>
          <w:sz w:val="18"/>
          <w:szCs w:val="18"/>
          <w:color w:val="auto"/>
        </w:rPr>
      </w:pPr>
    </w:p>
    <w:p>
      <w:pPr>
        <w:ind w:left="680" w:hanging="318"/>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5" w:name="page56"/>
    <w:bookmarkEnd w:id="55"/>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63" w:lineRule="exact"/>
        <w:rPr>
          <w:rFonts w:ascii="Arial" w:cs="Arial" w:eastAsia="Arial" w:hAnsi="Arial"/>
          <w:sz w:val="18"/>
          <w:szCs w:val="18"/>
          <w:color w:val="auto"/>
        </w:rPr>
      </w:pPr>
    </w:p>
    <w:p>
      <w:pPr>
        <w:ind w:left="660" w:hanging="311"/>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recent years, the stock markets, and particularly the stock of smaller pharmaceutical and biotechnology companies, at times have experienced price and volume fluctuations that have often been unrelated or disproportionate to the operating performance of affected companies. Broad market and industry factors may significantly affect the market price of our common stock unrelated to our actual operating performance. If the market price of shares of our common stock does not ever exceed the price at which you purchased them, you may not realize any return on your investment in us and may lose some or all of your investment.</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Securities analysts may publish inaccurate or unfavorable research or reports about our business or may publish no information at all, which could cause our stock price or trading volume to decline.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trading market for our common stock develops, the trading market will be influenced by the research and reports that industry or financial analysts publish about us and our business. We do not control these analysts. As a newly public company, the analysts who publish information about our common stock will have had relatively little experience with our company,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concentration of our capital stock ownership with insiders will likely limit your ability to influence corporate matters.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Based upon shares outstanding as of September 30, 2018, we estimate that our executive officers, directors, and current 5% or greater stockholders and affiliated entities will together beneficially own approximately 50% of our common stock outstanding. These stockholders may in some instances exercise their influence in ways that you do not believe are in your best interests as a stockholder. Some of these persons or entities may have interests different than yours. In particular,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could limit your ability to influence corporate matters and may have the effect of delaying or preventing a change of control, including a merger, consolidation or other business combination involving us, or discouraging a potential acquirer from making a tender offer or otherwise attempting to obtain control, even if such a change of control would benefit our other stockholders. This significant concentration of share ownership may adversely affect the trading price for our common stock because some investors perceive disadvantages in owning stock in companies with concentrated equity ownership.</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may take advantage of certain exemptions and relief from various reporting requirements that are applicable to other public companies that are not “emerging growth companies.” In particular, while we are an “emerging growth company” (i) we will not be required to comply with the auditor attestation requirements of Section 404(b) of the Sarbanes-Oxley Act, (ii) we will be exempt from any rules that may be adopted by the Public Company Accounting Oversight Board requiring mandatory audit firm rotations or a supplement to the auditor’s report on financial statements, (iii) we will be subject to reduced disclosure obligations regarding executive compensation in our periodic</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30"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reports and proxy statements and (iv) we will not be required to hold nonbinding advisory votes on executive compensation or stockholder approval of any golden parachute payments not previously approved.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our public filings may not be comparable to companies that are not “emerging growth companies”. We may remain an “emerging growth company” until the fiscal year-end following the fifth anniversary of the completion of our IPO, though we may cease to be an “emerging growth company” earlier under certain circumstances, including (i) if the market value of our common stock that is held by nonaffiliates exceeds $700 million as of any June 30, in which case we would cease to be an “emerging growth company” as of the following January 1, or (ii) if our gross revenue exceeds $1.07 billion in any fiscal year.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 significant portion of our total outstanding shares of common stock is restricted from immediate resale but may be sold into the market in the near future. This could cause the market price of our common stock to drop significantly, even if our business is doing well.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September 30, 2018, stockholders holding approximately 14,305,339 shares of our common stock were subject to restrictions on their ability to sell their shares, including as a result of the lock-up agreements entered into with the underwriters for our IPO. The underwriters may, in their sole discretion and without notice, release all or any portion of the shares from these lock-up arrangements, and the lock-up agreements are subject to certain exceptions. If one or more stockholders were to sell a substantial portion of the shares they hold, it could cause our stock price to decline.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holders of an aggregate of approximately 11,837,073 shares of our common stock will be entitled, subject to some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as of September 30, 2018 there were 2,753,208 shares subject to outstanding options granted under our equity incentive plans that will become eligible for sale in the public market to the extent permitted by any applicable vesting requirements, the lock-up agreements described above and Rules 144 and 701 under the Securities Act of 1933, as amended (the "Securities Act"). We have registered the shares of common stock issuable upon exercise of these options under a Registration Statement on Form S-8. We have also registered all 1,822,000 shares of common stock that we may issue under our 2018 Stock Option and Incentive Plan and 193,000 shares of common stock we may issue under our 2018 Employee Stock Purchase Plan. These shares can be freely sold in the public market upon issuance and once vested, subject to the 180-day lock-up periods under the lock-up agreements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2017, we had federal net operating loss carryforwards of $55.8 million and federal research and orphan drug credit carryforwards of $2.0 million. If not utilized, these carryforwards will expire at various dates between 2025 and 2036. These net operating loss and tax credit carryforwards could expire unused and be unavailable to offset future income tax liabilities. Under the newly enacted federal income tax law, federal net operating losses incurred in 2018 and in future years may be carried forward indefinitely, but the deductibility of such federal net operating losses is limited. It is uncertain how various states will respond to the newly enacted federal tax law.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Our existing net operating losses or credits may be subject to limitations arising from previous ownership changes, and if we undergo an ownership change in connection with or after our IPO, our ability to utilize our net operating losses or credits could be further limited by Sections 382 and 383 of the Code. In addition, future changes in our stock ownership, many of which may be outside of our control, could result in an ownership change under Sections 382 and 383 of the Code. Accordingly, we may not be able to utilize a material portion of our net operating losses or credits.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in the foreseeable future, and accordingly, your ability to achieve a return on your investment will depend on appreciation in the price of our common stock.</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do not anticipate declaring any cash dividends to holders of our common stock in the foreseeable future. In addition, under our Loan and Security Agreement, we are restricted from paying any dividends or making any distributions on account of our capital stock. Our ability to pay cash dividends also may be prohibited by future loan agreements. Consequently, investors must rely on sales of their common stock after price appreciation, which may never occur, as the only way to realize any future gains on their investment. Investors seeking cash dividends should not invest in our common stock.</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or hinder efforts to acquire a controlling interest in 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39" w:lineRule="exact"/>
        <w:rPr>
          <w:sz w:val="20"/>
          <w:szCs w:val="20"/>
          <w:color w:val="auto"/>
        </w:rPr>
      </w:pPr>
    </w:p>
    <w:p>
      <w:pPr>
        <w:ind w:left="680" w:hanging="375"/>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all members of the board are not elected at one time;</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63" w:lineRule="exact"/>
        <w:rPr>
          <w:rFonts w:ascii="Arial" w:cs="Arial" w:eastAsia="Arial" w:hAnsi="Arial"/>
          <w:sz w:val="18"/>
          <w:szCs w:val="18"/>
          <w:color w:val="auto"/>
        </w:rPr>
      </w:pPr>
    </w:p>
    <w:p>
      <w:pPr>
        <w:ind w:left="680" w:hanging="375"/>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63"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on at stockholder meetings;</w:t>
      </w:r>
    </w:p>
    <w:p>
      <w:pPr>
        <w:spacing w:after="0" w:line="8"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8" w:lineRule="exact"/>
        <w:rPr>
          <w:rFonts w:ascii="Arial" w:cs="Arial" w:eastAsia="Arial" w:hAnsi="Arial"/>
          <w:sz w:val="18"/>
          <w:szCs w:val="18"/>
          <w:color w:val="auto"/>
        </w:rPr>
      </w:pPr>
    </w:p>
    <w:p>
      <w:pPr>
        <w:ind w:left="680" w:hanging="375"/>
        <w:spacing w:after="0"/>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63" w:lineRule="exact"/>
        <w:rPr>
          <w:rFonts w:ascii="Arial" w:cs="Arial" w:eastAsia="Arial" w:hAnsi="Arial"/>
          <w:sz w:val="18"/>
          <w:szCs w:val="18"/>
          <w:color w:val="auto"/>
        </w:rPr>
      </w:pPr>
    </w:p>
    <w:p>
      <w:pPr>
        <w:jc w:val="both"/>
        <w:ind w:left="680" w:right="1720" w:hanging="375"/>
        <w:spacing w:after="0" w:line="264"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9" w:lineRule="exact"/>
        <w:rPr>
          <w:rFonts w:ascii="Arial" w:cs="Arial" w:eastAsia="Arial" w:hAnsi="Arial"/>
          <w:sz w:val="18"/>
          <w:szCs w:val="18"/>
          <w:color w:val="auto"/>
        </w:rPr>
      </w:pPr>
    </w:p>
    <w:p>
      <w:pPr>
        <w:ind w:left="680" w:right="1720" w:hanging="375"/>
        <w:spacing w:after="0" w:line="277"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votes that all our stockholders would be entitled to cast to amend or repeal certain provisions of our charter or bylaws;</w:t>
      </w:r>
    </w:p>
    <w:p>
      <w:pPr>
        <w:spacing w:after="0" w:line="8" w:lineRule="exact"/>
        <w:rPr>
          <w:rFonts w:ascii="Arial" w:cs="Arial" w:eastAsia="Arial" w:hAnsi="Arial"/>
          <w:sz w:val="18"/>
          <w:szCs w:val="18"/>
          <w:color w:val="auto"/>
        </w:rPr>
      </w:pPr>
    </w:p>
    <w:p>
      <w:pPr>
        <w:jc w:val="both"/>
        <w:ind w:left="680" w:right="1720" w:hanging="375"/>
        <w:spacing w:after="0" w:line="259" w:lineRule="auto"/>
        <w:tabs>
          <w:tab w:leader="none" w:pos="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Court of Chancery of the State of Delaware will be the exclusive forum for any derivative action or proceeding brought on our behalf, any action asserting a breach of fiduciary duty by one or more of our directors, officers or employees, any action asserting a claim against us pursuant to the Delaware General Corporation Law, or any action asserting a claim against us that is governed by the internal affairs doctrine.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This could discourage, delay or prevent someone from acquiring us or merging with us, whether or not it is desired by, or beneficial to, our stockholders. This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bylaws designate certain courts as the sole and exclusive forums for certain types of actions and proceedings that may be initiated by our stockholders, which could limit our stockholders’ ability to obtain a favorable judicial forum for disputes with us or our directors, officers or employees.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or based on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In addition, our amended and restated bylaws further provide that the United States District Court for the Northern District of Illinois will be the exclusive forum for resolving any complaint asserting a cause of action arising under the Securities Act. In addition, our amended and restated bylaws provide that any person or entity purchasing or otherwise acquiring any interest in shares of our common stock is deemed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jc w:val="both"/>
        <w:spacing w:after="0" w:line="285" w:lineRule="auto"/>
        <w:rPr>
          <w:sz w:val="20"/>
          <w:szCs w:val="20"/>
          <w:color w:val="auto"/>
        </w:rPr>
      </w:pPr>
      <w:r>
        <w:rPr>
          <w:rFonts w:ascii="Arial" w:cs="Arial" w:eastAsia="Arial" w:hAnsi="Arial"/>
          <w:sz w:val="16"/>
          <w:szCs w:val="16"/>
          <w:color w:val="auto"/>
        </w:rPr>
        <w:t>to have notice of and consented to the foregoing provisions. We have chosen the United States District Court for the Northern District of Illinois as the exclusive forum for such causes of action because our principal executive offices are located in Chicago, Illinois.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state of Illinois. Additionally, this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w:t>
      </w:r>
      <w:r>
        <w:rPr>
          <w:rFonts w:ascii="Arial" w:cs="Arial" w:eastAsia="Arial" w:hAnsi="Arial"/>
          <w:sz w:val="16"/>
          <w:szCs w:val="16"/>
          <w:color w:val="2C2C2C"/>
        </w:rPr>
        <w:t>olders.</w:t>
      </w:r>
      <w:r>
        <w:rPr>
          <w:rFonts w:ascii="Arial" w:cs="Arial" w:eastAsia="Arial" w:hAnsi="Arial"/>
          <w:sz w:val="16"/>
          <w:szCs w:val="16"/>
          <w:color w:val="auto"/>
        </w:rPr>
        <w:t xml:space="preserve"> </w:t>
      </w:r>
      <w:r>
        <w:rPr>
          <w:rFonts w:ascii="Arial" w:cs="Arial" w:eastAsia="Arial" w:hAnsi="Arial"/>
          <w:sz w:val="16"/>
          <w:szCs w:val="16"/>
          <w:color w:val="2C2C2C"/>
        </w:rPr>
        <w:t>Stockholders who do bring a claim in these courts could face additional litigation costs in pursuing any such claim, particularly if they do not reside in or near the states in which these courts are located. Such courts may also reach different judgments or results tha</w:t>
      </w:r>
      <w:r>
        <w:rPr>
          <w:rFonts w:ascii="Arial" w:cs="Arial" w:eastAsia="Arial" w:hAnsi="Arial"/>
          <w:sz w:val="16"/>
          <w:szCs w:val="16"/>
          <w:color w:val="000000"/>
        </w:rPr>
        <w:t>n would other courts, including courts where a</w:t>
      </w:r>
      <w:r>
        <w:rPr>
          <w:rFonts w:ascii="Arial" w:cs="Arial" w:eastAsia="Arial" w:hAnsi="Arial"/>
          <w:sz w:val="16"/>
          <w:szCs w:val="16"/>
          <w:color w:val="2C2C2C"/>
        </w:rPr>
        <w:t xml:space="preserve"> </w:t>
      </w:r>
      <w:r>
        <w:rPr>
          <w:rFonts w:ascii="Arial" w:cs="Arial" w:eastAsia="Arial" w:hAnsi="Arial"/>
          <w:sz w:val="16"/>
          <w:szCs w:val="16"/>
          <w:color w:val="000000"/>
        </w:rPr>
        <w:t>stockholder considering an action may be located or would otherwise choose to bring the action, and such judgments or results may be more favorable to us than to our stockholders.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United States District Court for the Northern District of Illinois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Set forth below is information regarding securities sold by us during the three months ended September 30, 2018, that were not registered under the Securities Act of 1933, as amended, or the Securities Act. Also included is the consideration, if any, received by us for the securities and information relating to the section of the Securities Act, or rule of the U.S. Securities and Exchange Commission, under which exemption from registration was claimed.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2018, the Company drew down $15.0 million from the second tranche of a Loan and Security Agreement with Oxford Finance LLC, or Oxford, and Silicon Valley Bank, or SVB. In connection with the draw down of the second tranche, pursuant to the terms of the Loan and Security Agreement, we granted Oxford and SVB warrants for the purchase of 40,292 shares of our common stock at an exercise price of $11.17 per share. The warrants are exercisable for seven years from the date of issuance.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underwriters were involved in the foregoing issuance of securities. The securities described in this section were issued to two investors in reliance upon the exemption from the registration requirements of the Securities Act, as set forth in Section 4(2) under the Securities Act relative to transactions by an issuer not involving any public offering, to the extent an exemption from such registration was required. Oxford and SVB represented to us in connection with the issuance of the warrants that they are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Oxford and SVB received written disclosures that the securities and the common stock issuable upon the exercise of such securities had not been registered under the Securities Act and that any resale must be made pursuant to a registration statement or an available exemption from such registration.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three months ended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25, 2018, we completed our initial public offering ("IPO") of 6,555,000 shares of our common stock at a price of $15.00 per share for an aggregate offering price of approximately $98.3 million, including 855,000 shares of our common stock pursuant to the exercise of the underwriters’ option to purchase additional shares. Jefferies LLC, Leerink Partners LLC, RBC Capital Markets, LLC and Mizuho Securities USA LLC served as the underwriters of the IPO. The offer and sale of all of the shares in the offering were registered under the Securities Act pursuant to a registration statement on Form S-1 (File No. 333-225191), which was declared effective by the SEC on June 20,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received aggregate net proceeds from the offering of approximately $89.0 million, after deducting underwriting discounts and commissions as well as other offering expenses. As of September 30, 2018, we have invested proceeds from the offering in a variety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capital preservation investments, including short-term, investment grade, interest bearing instruments and U.S. government securities. There has been no material change in our planned use of the net proceeds from the IPO as described in the final prospectus filed with the U.S. Securities and Exchange Commission pursuant to Rule 424(b) on June 21, 2018 under the Securities Act.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have not used any of the net proceeds from the offering to make payments, directly or indirectly, to any director or officer or any of their associates, to any person owning 10 percent or more of our common stock, or to any affiliate.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as part of this Quarterly Report on Form 10-Q are set forth on the Index to Exhibits,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310"/>
        <w:spacing w:after="0"/>
        <w:rPr>
          <w:sz w:val="20"/>
          <w:szCs w:val="20"/>
          <w:color w:val="auto"/>
        </w:rPr>
      </w:pPr>
      <w:r>
        <w:rPr>
          <w:rFonts w:ascii="Arial" w:cs="Arial" w:eastAsia="Arial" w:hAnsi="Arial"/>
          <w:sz w:val="17"/>
          <w:szCs w:val="17"/>
          <w:u w:val="single" w:color="auto"/>
          <w:color w:val="auto"/>
        </w:rPr>
        <w:t>Exhibit No.</w:t>
      </w:r>
    </w:p>
    <w:p>
      <w:pPr>
        <w:spacing w:after="0" w:line="264" w:lineRule="exact"/>
        <w:rPr>
          <w:sz w:val="20"/>
          <w:szCs w:val="20"/>
          <w:color w:val="auto"/>
        </w:rPr>
      </w:pPr>
    </w:p>
    <w:p>
      <w:pPr>
        <w:ind w:left="550"/>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ind w:left="59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68" w:lineRule="exact"/>
        <w:rPr>
          <w:sz w:val="20"/>
          <w:szCs w:val="20"/>
          <w:color w:val="auto"/>
        </w:rPr>
      </w:pPr>
    </w:p>
    <w:p>
      <w:pPr>
        <w:ind w:left="59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68" w:lineRule="exact"/>
        <w:rPr>
          <w:sz w:val="20"/>
          <w:szCs w:val="20"/>
          <w:color w:val="auto"/>
        </w:rPr>
      </w:pPr>
    </w:p>
    <w:p>
      <w:pPr>
        <w:ind w:left="55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3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jc w:val="center"/>
        <w:ind w:right="2080"/>
        <w:spacing w:after="0"/>
        <w:rPr>
          <w:sz w:val="20"/>
          <w:szCs w:val="20"/>
          <w:color w:val="auto"/>
        </w:rPr>
      </w:pPr>
      <w:r>
        <w:rPr>
          <w:rFonts w:ascii="Arial" w:cs="Arial" w:eastAsia="Arial" w:hAnsi="Arial"/>
          <w:sz w:val="18"/>
          <w:szCs w:val="18"/>
          <w:b w:val="1"/>
          <w:bCs w:val="1"/>
          <w:color w:val="auto"/>
        </w:rPr>
        <w:t>XERIS PHARMACEUTICALS, INC.</w:t>
      </w:r>
    </w:p>
    <w:p>
      <w:pPr>
        <w:spacing w:after="0" w:line="27" w:lineRule="exact"/>
        <w:rPr>
          <w:sz w:val="20"/>
          <w:szCs w:val="20"/>
          <w:color w:val="auto"/>
        </w:rPr>
      </w:pPr>
    </w:p>
    <w:p>
      <w:pPr>
        <w:jc w:val="center"/>
        <w:ind w:right="2080"/>
        <w:spacing w:after="0"/>
        <w:rPr>
          <w:sz w:val="20"/>
          <w:szCs w:val="20"/>
          <w:color w:val="auto"/>
        </w:rPr>
      </w:pPr>
      <w:r>
        <w:rPr>
          <w:rFonts w:ascii="Arial" w:cs="Arial" w:eastAsia="Arial" w:hAnsi="Arial"/>
          <w:sz w:val="18"/>
          <w:szCs w:val="18"/>
          <w:b w:val="1"/>
          <w:bCs w:val="1"/>
          <w:color w:val="auto"/>
        </w:rPr>
        <w:t>FORM 10-Q</w:t>
      </w:r>
    </w:p>
    <w:p>
      <w:pPr>
        <w:spacing w:after="0" w:line="211"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252" w:lineRule="exact"/>
        <w:rPr>
          <w:sz w:val="20"/>
          <w:szCs w:val="20"/>
          <w:color w:val="auto"/>
        </w:rPr>
      </w:pPr>
    </w:p>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Product Supply Agreement by and between SHL Pharma, LLC and the Registrant, dated August 1, 2018.</w:t>
        </w:r>
      </w:hyperlink>
    </w:p>
    <w:p>
      <w:pPr>
        <w:spacing w:after="0" w:line="252" w:lineRule="exact"/>
        <w:rPr>
          <w:sz w:val="20"/>
          <w:szCs w:val="20"/>
          <w:color w:val="auto"/>
        </w:rPr>
      </w:pPr>
    </w:p>
    <w:p>
      <w:pPr>
        <w:ind w:left="20" w:right="400"/>
        <w:spacing w:after="0" w:line="277" w:lineRule="auto"/>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Certification of Principal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104">
        <w:r>
          <w:rPr>
            <w:rFonts w:ascii="Arial" w:cs="Arial" w:eastAsia="Arial" w:hAnsi="Arial"/>
            <w:sz w:val="18"/>
            <w:szCs w:val="18"/>
            <w:u w:val="single" w:color="auto"/>
            <w:color w:val="0000FF"/>
          </w:rPr>
          <w:t>1934, as amended.</w:t>
        </w:r>
      </w:hyperlink>
    </w:p>
    <w:p>
      <w:pPr>
        <w:spacing w:after="0" w:line="197" w:lineRule="exact"/>
        <w:rPr>
          <w:sz w:val="20"/>
          <w:szCs w:val="20"/>
          <w:color w:val="auto"/>
        </w:rPr>
      </w:pPr>
    </w:p>
    <w:p>
      <w:pPr>
        <w:ind w:left="20" w:right="460"/>
        <w:spacing w:after="0" w:line="277" w:lineRule="auto"/>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Certification of Principal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105">
        <w:r>
          <w:rPr>
            <w:rFonts w:ascii="Arial" w:cs="Arial" w:eastAsia="Arial" w:hAnsi="Arial"/>
            <w:sz w:val="18"/>
            <w:szCs w:val="18"/>
            <w:u w:val="single" w:color="auto"/>
            <w:color w:val="0000FF"/>
          </w:rPr>
          <w:t>1934, as amended.</w:t>
        </w:r>
      </w:hyperlink>
    </w:p>
    <w:p>
      <w:pPr>
        <w:spacing w:after="0" w:line="197" w:lineRule="exact"/>
        <w:rPr>
          <w:sz w:val="20"/>
          <w:szCs w:val="20"/>
          <w:color w:val="auto"/>
        </w:rPr>
      </w:pPr>
    </w:p>
    <w:p>
      <w:pPr>
        <w:ind w:left="20" w:right="80"/>
        <w:spacing w:after="0" w:line="277" w:lineRule="auto"/>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Certification of Periodic Financial Report by the Chief Executive Officer and Chief Financial Officer pursuant to Section 906 of</w:t>
        </w:r>
      </w:hyperlink>
      <w:r>
        <w:rPr>
          <w:rFonts w:ascii="Arial" w:cs="Arial" w:eastAsia="Arial" w:hAnsi="Arial"/>
          <w:sz w:val="18"/>
          <w:szCs w:val="18"/>
          <w:u w:val="single" w:color="auto"/>
          <w:color w:val="0000FF"/>
        </w:rPr>
        <w:t xml:space="preserve"> </w:t>
      </w:r>
      <w:hyperlink w:anchor="page106">
        <w:r>
          <w:rPr>
            <w:rFonts w:ascii="Arial" w:cs="Arial" w:eastAsia="Arial" w:hAnsi="Arial"/>
            <w:sz w:val="18"/>
            <w:szCs w:val="18"/>
            <w:u w:val="single" w:color="auto"/>
            <w:color w:val="0000FF"/>
          </w:rPr>
          <w:t>the Sarbanes-Oxley Act of 2002.</w:t>
        </w:r>
      </w:hyperlink>
    </w:p>
    <w:p>
      <w:pPr>
        <w:spacing w:after="0" w:line="197" w:lineRule="exact"/>
        <w:rPr>
          <w:sz w:val="20"/>
          <w:szCs w:val="20"/>
          <w:color w:val="auto"/>
        </w:rPr>
      </w:pPr>
    </w:p>
    <w:p>
      <w:pPr>
        <w:ind w:left="20" w:right="80"/>
        <w:spacing w:after="0" w:line="259" w:lineRule="auto"/>
        <w:rPr>
          <w:sz w:val="20"/>
          <w:szCs w:val="20"/>
          <w:color w:val="auto"/>
        </w:rPr>
      </w:pPr>
      <w:r>
        <w:rPr>
          <w:rFonts w:ascii="Arial" w:cs="Arial" w:eastAsia="Arial" w:hAnsi="Arial"/>
          <w:sz w:val="18"/>
          <w:szCs w:val="18"/>
          <w:color w:val="auto"/>
        </w:rPr>
        <w:t>The following materials from Xeris Pharmaceuticals, Inc.'s Quarterly Report on Form 10-Q for the quarter ended September 30, 2018, formatted in XBRL (Extensible Business Reporting Language): (i) the Condensed Balance Sheets, (ii) the Condensed Statements of Operations and Comprehensive Loss, (iii) the Condensed Statements of Cash Flows and (iv) Notes to Unaudited Condensed Financial Statements.</w:t>
      </w:r>
    </w:p>
    <w:p>
      <w:pPr>
        <w:spacing w:after="0" w:line="200" w:lineRule="exact"/>
        <w:rPr>
          <w:sz w:val="20"/>
          <w:szCs w:val="20"/>
          <w:color w:val="auto"/>
        </w:rPr>
      </w:pPr>
    </w:p>
    <w:p>
      <w:pPr>
        <w:sectPr>
          <w:pgSz w:w="11900" w:h="16838" w:orient="portrait"/>
          <w:cols w:equalWidth="0" w:num="2">
            <w:col w:w="1190" w:space="720"/>
            <w:col w:w="9340"/>
          </w:cols>
          <w:pgMar w:left="410" w:top="364" w:right="239" w:bottom="1440" w:gutter="0" w:footer="0" w:header="0"/>
        </w:sectPr>
      </w:pPr>
    </w:p>
    <w:p>
      <w:pPr>
        <w:spacing w:after="0" w:line="203" w:lineRule="exact"/>
        <w:rPr>
          <w:sz w:val="20"/>
          <w:szCs w:val="20"/>
          <w:color w:val="auto"/>
        </w:rPr>
      </w:pPr>
    </w:p>
    <w:p>
      <w:pPr>
        <w:ind w:left="170" w:hanging="170"/>
        <w:spacing w:after="0" w:line="277" w:lineRule="auto"/>
        <w:tabs>
          <w:tab w:leader="none" w:pos="1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confidential treatment order, and this exhibit has been submitted separately to the U.S. Securities and Exchange Commission.</w:t>
      </w:r>
    </w:p>
    <w:p>
      <w:pPr>
        <w:spacing w:after="0" w:line="170" w:lineRule="exact"/>
        <w:rPr>
          <w:sz w:val="20"/>
          <w:szCs w:val="20"/>
          <w:color w:val="auto"/>
        </w:rPr>
      </w:pPr>
    </w:p>
    <w:p>
      <w:pPr>
        <w:jc w:val="both"/>
        <w:ind w:left="170" w:right="20" w:hanging="170"/>
        <w:spacing w:after="0" w:line="312" w:lineRule="auto"/>
        <w:tabs>
          <w:tab w:leader="none" w:pos="17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certifications furnished in Exhibit 32.1 hereto are deemed to accompany this report and will not be deemed "filed" for purposes of Section 18 of the Securities Exchange Act of 1934, as amended. Such certifications will not be deemed to be incorporated by reference into any filings under the Securities Act of 1933, as amended, or the Securities Act of 1934, as amended, except to the extent that the Registrant specifically incorporates it by reference.</w:t>
      </w:r>
    </w:p>
    <w:p>
      <w:pPr>
        <w:spacing w:after="0" w:line="282" w:lineRule="exact"/>
        <w:rPr>
          <w:sz w:val="20"/>
          <w:szCs w:val="20"/>
          <w:color w:val="auto"/>
        </w:rPr>
      </w:pPr>
    </w:p>
    <w:p>
      <w:pPr>
        <w:jc w:val="center"/>
        <w:ind w:right="15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50"/>
          </w:cols>
          <w:pgMar w:left="410" w:top="364" w:right="239" w:bottom="1440" w:gutter="0" w:footer="0" w:header="0"/>
          <w:type w:val="continuous"/>
        </w:sectPr>
      </w:pPr>
    </w:p>
    <w:bookmarkStart w:id="61" w:name="page62"/>
    <w:bookmarkEnd w:id="6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6"/>
          <w:szCs w:val="16"/>
          <w:b w:val="1"/>
          <w:bCs w:val="1"/>
          <w:color w:val="auto"/>
        </w:rPr>
        <w:t>Xeris Pharmaceuticals, Inc.</w:t>
      </w:r>
    </w:p>
    <w:p>
      <w:pPr>
        <w:spacing w:after="0" w:line="391"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Paul R.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1346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Paul R. Edick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President, Chief Executive Officer and Chairman</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Barry M.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1346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Barry M. Deutsch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40"/>
          </w:cols>
          <w:pgMar w:left="240" w:top="364" w:right="719" w:bottom="1440" w:gutter="0" w:footer="0" w:header="0"/>
        </w:sectPr>
      </w:pPr>
    </w:p>
    <w:bookmarkStart w:id="62" w:name="page63"/>
    <w:bookmarkEnd w:id="62"/>
    <w:p>
      <w:pPr>
        <w:ind w:left="220" w:right="220" w:firstLine="279"/>
        <w:spacing w:after="0" w:line="281" w:lineRule="auto"/>
        <w:tabs>
          <w:tab w:leader="none" w:pos="973"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PRODUCT SUPPLY AGREEMENT</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PRODUCT SUPPLY AGREEMENT</w:t>
      </w:r>
      <w:r>
        <w:rPr>
          <w:rFonts w:ascii="Arial" w:cs="Arial" w:eastAsia="Arial" w:hAnsi="Arial"/>
          <w:sz w:val="22"/>
          <w:szCs w:val="22"/>
          <w:color w:val="auto"/>
        </w:rPr>
        <w:t xml:space="preserve"> (the “Agreement”), effective as of August 1, 2018 (the “Effective Date”), is made by and between </w:t>
      </w:r>
      <w:r>
        <w:rPr>
          <w:rFonts w:ascii="Arial" w:cs="Arial" w:eastAsia="Arial" w:hAnsi="Arial"/>
          <w:sz w:val="22"/>
          <w:szCs w:val="22"/>
          <w:b w:val="1"/>
          <w:bCs w:val="1"/>
          <w:color w:val="auto"/>
        </w:rPr>
        <w:t>SHL</w:t>
      </w:r>
      <w:r>
        <w:rPr>
          <w:rFonts w:ascii="Arial" w:cs="Arial" w:eastAsia="Arial" w:hAnsi="Arial"/>
          <w:sz w:val="22"/>
          <w:szCs w:val="22"/>
          <w:color w:val="auto"/>
        </w:rPr>
        <w:t xml:space="preserve"> Pharma, </w:t>
      </w:r>
      <w:r>
        <w:rPr>
          <w:rFonts w:ascii="Arial" w:cs="Arial" w:eastAsia="Arial" w:hAnsi="Arial"/>
          <w:sz w:val="22"/>
          <w:szCs w:val="22"/>
          <w:b w:val="1"/>
          <w:bCs w:val="1"/>
          <w:color w:val="auto"/>
        </w:rPr>
        <w:t>LLC</w:t>
      </w:r>
      <w:r>
        <w:rPr>
          <w:rFonts w:ascii="Arial" w:cs="Arial" w:eastAsia="Arial" w:hAnsi="Arial"/>
          <w:sz w:val="22"/>
          <w:szCs w:val="22"/>
          <w:color w:val="auto"/>
        </w:rPr>
        <w:t>, a private limited liability company existing under the laws of Florida, with offices at 588 Jim Moran Boulevard, Deerfield Beach, Florida (“SHL”), and Xeris Pharmaceuticals, Inc., a Delaware corporation, with its principal office at 180 N. LaSalle Street, Suite 1800, Chicago, Illinois, 60601 (“Customer”), collectively the “Parties” and each individually a “Party”.</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Customer is engaged in the research, development, and commercialization of products for patients with unmet</w:t>
      </w:r>
      <w:r>
        <w:rPr>
          <w:rFonts w:ascii="Arial" w:cs="Arial" w:eastAsia="Arial" w:hAnsi="Arial"/>
          <w:sz w:val="22"/>
          <w:szCs w:val="22"/>
          <w:b w:val="1"/>
          <w:bCs w:val="1"/>
          <w:color w:val="auto"/>
        </w:rPr>
        <w:t xml:space="preserve"> </w:t>
      </w:r>
      <w:r>
        <w:rPr>
          <w:rFonts w:ascii="Arial" w:cs="Arial" w:eastAsia="Arial" w:hAnsi="Arial"/>
          <w:sz w:val="22"/>
          <w:szCs w:val="22"/>
          <w:color w:val="auto"/>
        </w:rPr>
        <w:t>medical needs; and</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Customer owns and possesses certain materials, intellectual property rights, information, and know-how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identified products of interest, and related research programs; and</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SHL is engaged in the design, development and manufacture of drug delivery devices, and assembly of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drug products involving delivery devices, including auto-injectors and pen injectors; and</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as of January 29</w:t>
      </w:r>
      <w:r>
        <w:rPr>
          <w:rFonts w:ascii="Arial" w:cs="Arial" w:eastAsia="Arial" w:hAnsi="Arial"/>
          <w:sz w:val="27"/>
          <w:szCs w:val="27"/>
          <w:color w:val="auto"/>
          <w:vertAlign w:val="superscript"/>
        </w:rPr>
        <w:t>th</w:t>
      </w:r>
      <w:r>
        <w:rPr>
          <w:rFonts w:ascii="Arial" w:cs="Arial" w:eastAsia="Arial" w:hAnsi="Arial"/>
          <w:sz w:val="21"/>
          <w:szCs w:val="21"/>
          <w:color w:val="auto"/>
        </w:rPr>
        <w:t>, 2016, Customer and SHL’s Affiliate, Scandinavian Health Limited, a private company existing</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laws of Hong Kong, with offices at Room 810, Argylc Centre, Phase 1, 688 Nathan Road, Kowloon, Hong Kong, (“Scandinavian Health”) entered into a Joint Development Agreement (“Joint Development Agreement”) under which Scandinavian Health was to modify an existing Scandinavian Health auto-injector device to customize it for use with Customer’s Primary Packaging (the customized SHL auto-injector device the “Device”, as further defined herein); and</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Customer desires that S1IL have Scandinavian Health manufacture the above-mentioned Device as a qualified</w:t>
      </w:r>
      <w:r>
        <w:rPr>
          <w:rFonts w:ascii="Arial" w:cs="Arial" w:eastAsia="Arial" w:hAnsi="Arial"/>
          <w:sz w:val="22"/>
          <w:szCs w:val="22"/>
          <w:b w:val="1"/>
          <w:bCs w:val="1"/>
          <w:color w:val="auto"/>
        </w:rPr>
        <w:t xml:space="preserve"> </w:t>
      </w:r>
      <w:r>
        <w:rPr>
          <w:rFonts w:ascii="Arial" w:cs="Arial" w:eastAsia="Arial" w:hAnsi="Arial"/>
          <w:sz w:val="22"/>
          <w:szCs w:val="22"/>
          <w:color w:val="auto"/>
        </w:rPr>
        <w:t>supplier of SIIL and Customer, and have SHI, assemble the Device together with Customer’s Primary Packaging into a fully-assembled Product; and</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both Parties desire to enter into this Agreement to provide the terms and conditions upon which Customer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engage SHL to have the Devices manufactured by Scandinavian Health and to provide the assembly Services related to the above-mentioned Device, Primary Packaging and Product;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6" w:right="239" w:bottom="1440" w:gutter="0" w:footer="0" w:header="0"/>
        </w:sectPr>
      </w:pPr>
    </w:p>
    <w:bookmarkStart w:id="63" w:name="page64"/>
    <w:bookmarkEnd w:id="63"/>
    <w:p>
      <w:pPr>
        <w:ind w:left="220" w:right="220" w:firstLine="279"/>
        <w:spacing w:after="0" w:line="281" w:lineRule="auto"/>
        <w:tabs>
          <w:tab w:leader="none" w:pos="973" w:val="left"/>
        </w:tabs>
        <w:numPr>
          <w:ilvl w:val="0"/>
          <w:numId w:val="36"/>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and in consideration of the foregoing promises and the mutual covenants and obligations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the Parties do agree as follows:</w:t>
      </w:r>
    </w:p>
    <w:p>
      <w:pPr>
        <w:spacing w:after="0" w:line="16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2"/>
          <w:szCs w:val="22"/>
          <w:b w:val="1"/>
          <w:bCs w:val="1"/>
          <w:color w:val="010000"/>
        </w:rPr>
      </w:pPr>
      <w:r>
        <w:rPr>
          <w:rFonts w:ascii="Arial" w:cs="Arial" w:eastAsia="Arial" w:hAnsi="Arial"/>
          <w:sz w:val="22"/>
          <w:szCs w:val="22"/>
          <w:b w:val="1"/>
          <w:bCs w:val="1"/>
          <w:color w:val="auto"/>
        </w:rPr>
        <w:t>DEFINITIONS</w:t>
      </w:r>
    </w:p>
    <w:p>
      <w:pPr>
        <w:spacing w:after="0" w:line="239" w:lineRule="exact"/>
        <w:rPr>
          <w:rFonts w:ascii="Arial" w:cs="Arial" w:eastAsia="Arial" w:hAnsi="Arial"/>
          <w:sz w:val="22"/>
          <w:szCs w:val="22"/>
          <w:b w:val="1"/>
          <w:bCs w:val="1"/>
          <w:color w:val="010000"/>
        </w:rPr>
      </w:pPr>
    </w:p>
    <w:p>
      <w:pPr>
        <w:ind w:left="980" w:hanging="648"/>
        <w:spacing w:after="0" w:line="263" w:lineRule="auto"/>
        <w:rPr>
          <w:rFonts w:ascii="Arial" w:cs="Arial" w:eastAsia="Arial" w:hAnsi="Arial"/>
          <w:sz w:val="22"/>
          <w:szCs w:val="22"/>
          <w:b w:val="1"/>
          <w:bCs w:val="1"/>
          <w:color w:val="010000"/>
        </w:rPr>
      </w:pPr>
      <w:r>
        <w:rPr>
          <w:rFonts w:ascii="Arial" w:cs="Arial" w:eastAsia="Arial" w:hAnsi="Arial"/>
          <w:sz w:val="22"/>
          <w:szCs w:val="22"/>
          <w:color w:val="010000"/>
        </w:rPr>
        <w:t xml:space="preserve">1.1 </w:t>
      </w:r>
      <w:r>
        <w:rPr>
          <w:rFonts w:ascii="Arial" w:cs="Arial" w:eastAsia="Arial" w:hAnsi="Arial"/>
          <w:sz w:val="22"/>
          <w:szCs w:val="22"/>
          <w:color w:val="000000"/>
        </w:rPr>
        <w:t>“Affiliate” means, with respect to a Party, any corporation, company, partnership, joint venture, or other business entity</w:t>
      </w:r>
      <w:r>
        <w:rPr>
          <w:rFonts w:ascii="Arial" w:cs="Arial" w:eastAsia="Arial" w:hAnsi="Arial"/>
          <w:sz w:val="22"/>
          <w:szCs w:val="22"/>
          <w:color w:val="010000"/>
        </w:rPr>
        <w:t xml:space="preserve"> </w:t>
      </w:r>
      <w:r>
        <w:rPr>
          <w:rFonts w:ascii="Arial" w:cs="Arial" w:eastAsia="Arial" w:hAnsi="Arial"/>
          <w:sz w:val="22"/>
          <w:szCs w:val="22"/>
          <w:color w:val="000000"/>
        </w:rPr>
        <w:t>controlled by, controlling, or under common control with such Party. For purposes of this definition, “control’’’ means the direct or indirect beneficial ownership of fifty percent (50%) or more of the voting interest in an entity, or such other relationship as, in fact, constitutes actual control.</w:t>
      </w:r>
    </w:p>
    <w:p>
      <w:pPr>
        <w:spacing w:after="0" w:line="187" w:lineRule="exact"/>
        <w:rPr>
          <w:rFonts w:ascii="Arial" w:cs="Arial" w:eastAsia="Arial" w:hAnsi="Arial"/>
          <w:sz w:val="22"/>
          <w:szCs w:val="22"/>
          <w:b w:val="1"/>
          <w:bCs w:val="1"/>
          <w:color w:val="010000"/>
        </w:rPr>
      </w:pPr>
    </w:p>
    <w:p>
      <w:pPr>
        <w:ind w:left="34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1.2    </w:t>
      </w:r>
      <w:r>
        <w:rPr>
          <w:rFonts w:ascii="Arial" w:cs="Arial" w:eastAsia="Arial" w:hAnsi="Arial"/>
          <w:sz w:val="22"/>
          <w:szCs w:val="22"/>
          <w:color w:val="000000"/>
        </w:rPr>
        <w:t>“Agreement” shall be as defined in the preamble.</w:t>
      </w:r>
    </w:p>
    <w:p>
      <w:pPr>
        <w:spacing w:after="0" w:line="233" w:lineRule="exact"/>
        <w:rPr>
          <w:rFonts w:ascii="Arial" w:cs="Arial" w:eastAsia="Arial" w:hAnsi="Arial"/>
          <w:sz w:val="22"/>
          <w:szCs w:val="22"/>
          <w:b w:val="1"/>
          <w:bCs w:val="1"/>
          <w:color w:val="010000"/>
        </w:rPr>
      </w:pPr>
    </w:p>
    <w:p>
      <w:pPr>
        <w:ind w:left="980" w:hanging="648"/>
        <w:spacing w:after="0" w:line="261" w:lineRule="auto"/>
        <w:rPr>
          <w:rFonts w:ascii="Arial" w:cs="Arial" w:eastAsia="Arial" w:hAnsi="Arial"/>
          <w:sz w:val="22"/>
          <w:szCs w:val="22"/>
          <w:b w:val="1"/>
          <w:bCs w:val="1"/>
          <w:color w:val="010000"/>
        </w:rPr>
      </w:pPr>
      <w:r>
        <w:rPr>
          <w:rFonts w:ascii="Arial" w:cs="Arial" w:eastAsia="Arial" w:hAnsi="Arial"/>
          <w:sz w:val="22"/>
          <w:szCs w:val="22"/>
          <w:color w:val="010000"/>
        </w:rPr>
        <w:t xml:space="preserve">1.3 </w:t>
      </w:r>
      <w:r>
        <w:rPr>
          <w:rFonts w:ascii="Arial" w:cs="Arial" w:eastAsia="Arial" w:hAnsi="Arial"/>
          <w:sz w:val="22"/>
          <w:szCs w:val="22"/>
          <w:color w:val="000000"/>
        </w:rPr>
        <w:t>“Background Intellectual Property” means Intellectual Property owned, licensed to, or otherwise controlled by one of</w:t>
      </w:r>
      <w:r>
        <w:rPr>
          <w:rFonts w:ascii="Arial" w:cs="Arial" w:eastAsia="Arial" w:hAnsi="Arial"/>
          <w:sz w:val="22"/>
          <w:szCs w:val="22"/>
          <w:color w:val="010000"/>
        </w:rPr>
        <w:t xml:space="preserve"> </w:t>
      </w:r>
      <w:r>
        <w:rPr>
          <w:rFonts w:ascii="Arial" w:cs="Arial" w:eastAsia="Arial" w:hAnsi="Arial"/>
          <w:sz w:val="22"/>
          <w:szCs w:val="22"/>
          <w:color w:val="000000"/>
        </w:rPr>
        <w:t>the Parties hereto prior to the performance of the Joint Development Agreement or developed, licensed or otherwise controlled by one of the Parties outside the scope of the Joint Development Agreement or the Services and provided (whether hereto before or after the Effective Date) by that Party to the other for use in the Services within the scope of this Agreement.</w:t>
      </w:r>
    </w:p>
    <w:p>
      <w:pPr>
        <w:spacing w:after="0" w:line="191" w:lineRule="exact"/>
        <w:rPr>
          <w:rFonts w:ascii="Arial" w:cs="Arial" w:eastAsia="Arial" w:hAnsi="Arial"/>
          <w:sz w:val="22"/>
          <w:szCs w:val="22"/>
          <w:b w:val="1"/>
          <w:bCs w:val="1"/>
          <w:color w:val="010000"/>
        </w:rPr>
      </w:pPr>
    </w:p>
    <w:p>
      <w:pPr>
        <w:ind w:left="34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1.4    </w:t>
      </w:r>
      <w:r>
        <w:rPr>
          <w:rFonts w:ascii="Arial" w:cs="Arial" w:eastAsia="Arial" w:hAnsi="Arial"/>
          <w:sz w:val="22"/>
          <w:szCs w:val="22"/>
          <w:color w:val="000000"/>
        </w:rPr>
        <w:t>“Capacity Commitment” shall have the definition stated in Section 5.1.6 and Appendix A.</w:t>
      </w:r>
    </w:p>
    <w:p>
      <w:pPr>
        <w:spacing w:after="0" w:line="233" w:lineRule="exact"/>
        <w:rPr>
          <w:rFonts w:ascii="Arial" w:cs="Arial" w:eastAsia="Arial" w:hAnsi="Arial"/>
          <w:sz w:val="22"/>
          <w:szCs w:val="22"/>
          <w:b w:val="1"/>
          <w:bCs w:val="1"/>
          <w:color w:val="010000"/>
        </w:rPr>
      </w:pPr>
    </w:p>
    <w:p>
      <w:pPr>
        <w:ind w:left="980" w:hanging="648"/>
        <w:spacing w:after="0" w:line="312" w:lineRule="auto"/>
        <w:rPr>
          <w:rFonts w:ascii="Arial" w:cs="Arial" w:eastAsia="Arial" w:hAnsi="Arial"/>
          <w:sz w:val="22"/>
          <w:szCs w:val="22"/>
          <w:b w:val="1"/>
          <w:bCs w:val="1"/>
          <w:color w:val="010000"/>
        </w:rPr>
      </w:pPr>
      <w:r>
        <w:rPr>
          <w:rFonts w:ascii="Arial" w:cs="Arial" w:eastAsia="Arial" w:hAnsi="Arial"/>
          <w:sz w:val="19"/>
          <w:szCs w:val="19"/>
          <w:color w:val="010000"/>
        </w:rPr>
        <w:t xml:space="preserve">1.5 </w:t>
      </w:r>
      <w:r>
        <w:rPr>
          <w:rFonts w:ascii="Arial" w:cs="Arial" w:eastAsia="Arial" w:hAnsi="Arial"/>
          <w:sz w:val="19"/>
          <w:szCs w:val="19"/>
          <w:color w:val="000000"/>
        </w:rPr>
        <w:t>“Components Colors” means the specific combination of colors of the surface of any specific components of the</w:t>
      </w:r>
      <w:r>
        <w:rPr>
          <w:rFonts w:ascii="Arial" w:cs="Arial" w:eastAsia="Arial" w:hAnsi="Arial"/>
          <w:sz w:val="19"/>
          <w:szCs w:val="19"/>
          <w:color w:val="010000"/>
        </w:rPr>
        <w:t xml:space="preserve"> </w:t>
      </w:r>
      <w:r>
        <w:rPr>
          <w:rFonts w:ascii="Arial" w:cs="Arial" w:eastAsia="Arial" w:hAnsi="Arial"/>
          <w:sz w:val="19"/>
          <w:szCs w:val="19"/>
          <w:color w:val="000000"/>
        </w:rPr>
        <w:t>Device, chosen or accepted by Customer and approved by SHL in writing, to apply to the Device. For avoidance of doubt, typical surface elements may include but are not limited to the cap, needle shield, plunger rod, body, and rear cap of the Device. The Components Colors do not include the industrial design of the Device and do not therefore extend to the ornamental configuration, surface decoration features, or look and feel features of the Device.</w:t>
      </w:r>
    </w:p>
    <w:p>
      <w:pPr>
        <w:spacing w:after="0" w:line="146" w:lineRule="exact"/>
        <w:rPr>
          <w:rFonts w:ascii="Arial" w:cs="Arial" w:eastAsia="Arial" w:hAnsi="Arial"/>
          <w:sz w:val="22"/>
          <w:szCs w:val="22"/>
          <w:b w:val="1"/>
          <w:bCs w:val="1"/>
          <w:color w:val="010000"/>
        </w:rPr>
      </w:pPr>
    </w:p>
    <w:p>
      <w:pPr>
        <w:jc w:val="right"/>
        <w:ind w:left="980" w:hanging="648"/>
        <w:spacing w:after="0" w:line="297" w:lineRule="auto"/>
        <w:rPr>
          <w:rFonts w:ascii="Arial" w:cs="Arial" w:eastAsia="Arial" w:hAnsi="Arial"/>
          <w:sz w:val="22"/>
          <w:szCs w:val="22"/>
          <w:b w:val="1"/>
          <w:bCs w:val="1"/>
          <w:color w:val="010000"/>
        </w:rPr>
      </w:pPr>
      <w:r>
        <w:rPr>
          <w:rFonts w:ascii="Arial" w:cs="Arial" w:eastAsia="Arial" w:hAnsi="Arial"/>
          <w:sz w:val="19"/>
          <w:szCs w:val="19"/>
          <w:color w:val="010000"/>
        </w:rPr>
        <w:t xml:space="preserve">1.6    </w:t>
      </w:r>
      <w:r>
        <w:rPr>
          <w:rFonts w:ascii="Arial" w:cs="Arial" w:eastAsia="Arial" w:hAnsi="Arial"/>
          <w:sz w:val="19"/>
          <w:szCs w:val="19"/>
          <w:color w:val="000000"/>
        </w:rPr>
        <w:t>“Confidential Information” means all confidential and proprietary information disclosed or provided hereunder to one</w:t>
      </w:r>
      <w:r>
        <w:rPr>
          <w:rFonts w:ascii="Arial" w:cs="Arial" w:eastAsia="Arial" w:hAnsi="Arial"/>
          <w:sz w:val="19"/>
          <w:szCs w:val="19"/>
          <w:color w:val="010000"/>
        </w:rPr>
        <w:t xml:space="preserve"> </w:t>
      </w:r>
      <w:r>
        <w:rPr>
          <w:rFonts w:ascii="Arial" w:cs="Arial" w:eastAsia="Arial" w:hAnsi="Arial"/>
          <w:sz w:val="19"/>
          <w:szCs w:val="19"/>
          <w:color w:val="000000"/>
        </w:rPr>
        <w:t>Party by or on behalf of the other Party, its employees, consultants or advisors or any of the other Party’s Affiliates and its Affiliates’ employees, including, but not limited to: (i) written records, business plans, operational information (such as administration, human resource, employee(s) or financial information), individual lists, research, notes, manuals, notebooks, documentation, program Listings, flow charts, magnetic media, disks, diskettes and tapes, (ii) products and services, (hi) machines, articles of manufacture and computer programs, (iv) designs and configurations, (v) analyses,</w:t>
      </w:r>
    </w:p>
    <w:p>
      <w:pPr>
        <w:spacing w:after="0" w:line="2" w:lineRule="exact"/>
        <w:rPr>
          <w:rFonts w:ascii="Arial" w:cs="Arial" w:eastAsia="Arial" w:hAnsi="Arial"/>
          <w:sz w:val="22"/>
          <w:szCs w:val="22"/>
          <w:b w:val="1"/>
          <w:bCs w:val="1"/>
          <w:color w:val="010000"/>
        </w:rPr>
      </w:pPr>
    </w:p>
    <w:p>
      <w:pPr>
        <w:jc w:val="both"/>
        <w:ind w:left="980"/>
        <w:spacing w:after="0" w:line="261" w:lineRule="auto"/>
        <w:tabs>
          <w:tab w:leader="none" w:pos="1383" w:val="left"/>
        </w:tabs>
        <w:numPr>
          <w:ilvl w:val="1"/>
          <w:numId w:val="37"/>
        </w:numPr>
        <w:rPr>
          <w:rFonts w:ascii="Arial" w:cs="Arial" w:eastAsia="Arial" w:hAnsi="Arial"/>
          <w:sz w:val="22"/>
          <w:szCs w:val="22"/>
          <w:color w:val="auto"/>
        </w:rPr>
      </w:pPr>
      <w:r>
        <w:rPr>
          <w:rFonts w:ascii="Arial" w:cs="Arial" w:eastAsia="Arial" w:hAnsi="Arial"/>
          <w:sz w:val="22"/>
          <w:szCs w:val="22"/>
          <w:color w:val="auto"/>
        </w:rPr>
        <w:t>drawings, sketches, models, apparatuses, photographs and reports, (vii) computer software, including operating systems, applications and program listings, (viii) data bases, (ix) inventions, devices, new developments, methods, processes, systems, formulations, configurations and uses, whether patentable or unpatentable and whether or not reduced to practice, (x) other copyrightable works, (xi)</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6" w:right="239" w:bottom="1440" w:gutter="0" w:footer="0" w:header="0"/>
        </w:sectPr>
      </w:pPr>
    </w:p>
    <w:bookmarkStart w:id="64" w:name="page65"/>
    <w:bookmarkEnd w:id="64"/>
    <w:p>
      <w:pPr>
        <w:ind w:left="220" w:right="220" w:firstLine="279"/>
        <w:spacing w:after="0" w:line="281" w:lineRule="auto"/>
        <w:tabs>
          <w:tab w:leader="none" w:pos="973"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spacing w:after="0" w:line="327" w:lineRule="auto"/>
        <w:rPr>
          <w:sz w:val="20"/>
          <w:szCs w:val="20"/>
          <w:color w:val="auto"/>
        </w:rPr>
      </w:pPr>
      <w:r>
        <w:rPr>
          <w:rFonts w:ascii="Arial" w:cs="Arial" w:eastAsia="Arial" w:hAnsi="Arial"/>
          <w:sz w:val="19"/>
          <w:szCs w:val="19"/>
          <w:color w:val="auto"/>
        </w:rPr>
        <w:t>all technology, Know-How, and trade secrets and (xii) all similar and related information, data, records and materials in whatever form. Confidential Information shall also include all reports, analyses, notes or records taken about the Confidential Information or other information that are based on, contain or reflect any Confidential Information.</w:t>
      </w:r>
    </w:p>
    <w:p>
      <w:pPr>
        <w:spacing w:after="0" w:line="133"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1.7</w:t>
      </w:r>
      <w:r>
        <w:rPr>
          <w:sz w:val="20"/>
          <w:szCs w:val="20"/>
          <w:color w:val="auto"/>
        </w:rPr>
        <w:tab/>
      </w:r>
      <w:r>
        <w:rPr>
          <w:rFonts w:ascii="Arial" w:cs="Arial" w:eastAsia="Arial" w:hAnsi="Arial"/>
          <w:sz w:val="22"/>
          <w:szCs w:val="22"/>
          <w:color w:val="auto"/>
        </w:rPr>
        <w:t>“Customer Materials” means Primary Packaging and any other materials that Customer provides to SHL in order for SHL to carry out the Services and to produce the Product and Deliverables.</w:t>
      </w:r>
    </w:p>
    <w:p>
      <w:pPr>
        <w:spacing w:after="0" w:line="17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1.8</w:t>
      </w:r>
      <w:r>
        <w:rPr>
          <w:sz w:val="20"/>
          <w:szCs w:val="20"/>
          <w:color w:val="auto"/>
        </w:rPr>
        <w:tab/>
      </w:r>
      <w:r>
        <w:rPr>
          <w:rFonts w:ascii="Arial" w:cs="Arial" w:eastAsia="Arial" w:hAnsi="Arial"/>
          <w:sz w:val="19"/>
          <w:szCs w:val="19"/>
          <w:color w:val="auto"/>
        </w:rPr>
        <w:t>“Defense Action” shall have the meaning stated in Section 12.13.</w:t>
      </w:r>
    </w:p>
    <w:p>
      <w:pPr>
        <w:spacing w:after="0" w:line="233"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1.9</w:t>
      </w:r>
      <w:r>
        <w:rPr>
          <w:sz w:val="20"/>
          <w:szCs w:val="20"/>
          <w:color w:val="auto"/>
        </w:rPr>
        <w:tab/>
      </w:r>
      <w:r>
        <w:rPr>
          <w:rFonts w:ascii="Arial" w:cs="Arial" w:eastAsia="Arial" w:hAnsi="Arial"/>
          <w:sz w:val="22"/>
          <w:szCs w:val="22"/>
          <w:color w:val="auto"/>
        </w:rPr>
        <w:t>“Deliverables” shall mean the Devices and Products to be sourced by and delivered by SI IL, and any other deliverable identified in this Agreement</w:t>
      </w:r>
    </w:p>
    <w:p>
      <w:pPr>
        <w:spacing w:after="0" w:line="174" w:lineRule="exact"/>
        <w:rPr>
          <w:sz w:val="20"/>
          <w:szCs w:val="20"/>
          <w:color w:val="auto"/>
        </w:rPr>
      </w:pPr>
    </w:p>
    <w:p>
      <w:pPr>
        <w:jc w:val="both"/>
        <w:ind w:left="980" w:hanging="647"/>
        <w:spacing w:after="0" w:line="309" w:lineRule="auto"/>
        <w:tabs>
          <w:tab w:leader="none" w:pos="960" w:val="left"/>
        </w:tabs>
        <w:rPr>
          <w:sz w:val="20"/>
          <w:szCs w:val="20"/>
          <w:color w:val="auto"/>
        </w:rPr>
      </w:pPr>
      <w:r>
        <w:rPr>
          <w:rFonts w:ascii="Arial" w:cs="Arial" w:eastAsia="Arial" w:hAnsi="Arial"/>
          <w:sz w:val="22"/>
          <w:szCs w:val="22"/>
          <w:color w:val="010000"/>
        </w:rPr>
        <w:t>1.10</w:t>
      </w:r>
      <w:r>
        <w:rPr>
          <w:sz w:val="20"/>
          <w:szCs w:val="20"/>
          <w:color w:val="auto"/>
        </w:rPr>
        <w:tab/>
      </w:r>
      <w:r>
        <w:rPr>
          <w:rFonts w:ascii="Arial" w:cs="Arial" w:eastAsia="Arial" w:hAnsi="Arial"/>
          <w:sz w:val="19"/>
          <w:szCs w:val="19"/>
          <w:color w:val="auto"/>
        </w:rPr>
        <w:t>“Device” means, as set forth in the preamble, the delivery system based on SHL’s [***] in the form of sub-assemblies sourced by SHL from Scandinavian Health and developed for Customer tinder the Joint Development Agreement, suitable for housing the Primary Packaging, inclusive of all components, assembly steps and quality release steps, to be manufactured as part of the Services, in accordance with Product requirements defined in Appendix A, and Product Specifications and Device specifications in the Quality Agreements. For purposes of clarity, the Device does not include Primary Packaging or the Drug Product contained therein.</w:t>
      </w:r>
    </w:p>
    <w:p>
      <w:pPr>
        <w:spacing w:after="0" w:line="14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1.11</w:t>
      </w:r>
      <w:r>
        <w:rPr>
          <w:sz w:val="20"/>
          <w:szCs w:val="20"/>
          <w:color w:val="auto"/>
        </w:rPr>
        <w:tab/>
      </w:r>
      <w:r>
        <w:rPr>
          <w:rFonts w:ascii="Arial" w:cs="Arial" w:eastAsia="Arial" w:hAnsi="Arial"/>
          <w:sz w:val="19"/>
          <w:szCs w:val="19"/>
          <w:color w:val="auto"/>
        </w:rPr>
        <w:t>“Drug Product” means a [***].</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1.12</w:t>
      </w:r>
      <w:r>
        <w:rPr>
          <w:sz w:val="20"/>
          <w:szCs w:val="20"/>
          <w:color w:val="auto"/>
        </w:rPr>
        <w:tab/>
      </w:r>
      <w:r>
        <w:rPr>
          <w:rFonts w:ascii="Arial" w:cs="Arial" w:eastAsia="Arial" w:hAnsi="Arial"/>
          <w:sz w:val="19"/>
          <w:szCs w:val="19"/>
          <w:color w:val="auto"/>
        </w:rPr>
        <w:t>“Effective Date” shall be as defined in the preamble to this Agreement.</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1.13</w:t>
      </w:r>
      <w:r>
        <w:rPr>
          <w:sz w:val="20"/>
          <w:szCs w:val="20"/>
          <w:color w:val="auto"/>
        </w:rPr>
        <w:tab/>
      </w:r>
      <w:r>
        <w:rPr>
          <w:rFonts w:ascii="Arial" w:cs="Arial" w:eastAsia="Arial" w:hAnsi="Arial"/>
          <w:sz w:val="19"/>
          <w:szCs w:val="19"/>
          <w:color w:val="auto"/>
        </w:rPr>
        <w:t>“Enforcement Action” shall have the meaning stated in Section 12.14,</w:t>
      </w:r>
    </w:p>
    <w:p>
      <w:pPr>
        <w:spacing w:after="0" w:line="233" w:lineRule="exact"/>
        <w:rPr>
          <w:sz w:val="20"/>
          <w:szCs w:val="20"/>
          <w:color w:val="auto"/>
        </w:rPr>
      </w:pPr>
    </w:p>
    <w:p>
      <w:pPr>
        <w:jc w:val="both"/>
        <w:ind w:left="980" w:hanging="647"/>
        <w:spacing w:after="0" w:line="241" w:lineRule="auto"/>
        <w:tabs>
          <w:tab w:leader="none" w:pos="960" w:val="left"/>
        </w:tabs>
        <w:rPr>
          <w:sz w:val="20"/>
          <w:szCs w:val="20"/>
          <w:color w:val="auto"/>
        </w:rPr>
      </w:pPr>
      <w:r>
        <w:rPr>
          <w:rFonts w:ascii="Arial" w:cs="Arial" w:eastAsia="Arial" w:hAnsi="Arial"/>
          <w:sz w:val="22"/>
          <w:szCs w:val="22"/>
          <w:color w:val="010000"/>
        </w:rPr>
        <w:t>1.14</w:t>
      </w:r>
      <w:r>
        <w:rPr>
          <w:rFonts w:ascii="Arial" w:cs="Arial" w:eastAsia="Arial" w:hAnsi="Arial"/>
          <w:sz w:val="22"/>
          <w:szCs w:val="22"/>
          <w:color w:val="auto"/>
        </w:rPr>
        <w:tab/>
        <w:t>“Facility(ies)” means: (i) with respect to the manufacturing of the Devices, Scandinavian Health’s facility located at 136 Guosheng 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 Taoyuan, Taiwan; (ii) with respect to the assembly of the Devices and Primary Packaging to produce Products, SHL’s facility located at 588 Jim Moran Boulevard, Deerfield Beach, Florida; or (iii) any facility operated by SHL or its Affiliates and approved in writing by Customer.</w:t>
      </w:r>
    </w:p>
    <w:p>
      <w:pPr>
        <w:spacing w:after="0" w:line="211" w:lineRule="exact"/>
        <w:rPr>
          <w:sz w:val="20"/>
          <w:szCs w:val="20"/>
          <w:color w:val="auto"/>
        </w:rPr>
      </w:pPr>
    </w:p>
    <w:p>
      <w:pPr>
        <w:jc w:val="both"/>
        <w:ind w:left="980" w:hanging="647"/>
        <w:spacing w:after="0" w:line="301" w:lineRule="auto"/>
        <w:tabs>
          <w:tab w:leader="none" w:pos="960" w:val="left"/>
        </w:tabs>
        <w:rPr>
          <w:sz w:val="20"/>
          <w:szCs w:val="20"/>
          <w:color w:val="auto"/>
        </w:rPr>
      </w:pPr>
      <w:r>
        <w:rPr>
          <w:rFonts w:ascii="Arial" w:cs="Arial" w:eastAsia="Arial" w:hAnsi="Arial"/>
          <w:sz w:val="22"/>
          <w:szCs w:val="22"/>
          <w:color w:val="010000"/>
        </w:rPr>
        <w:t>1.15</w:t>
      </w:r>
      <w:r>
        <w:rPr>
          <w:sz w:val="20"/>
          <w:szCs w:val="20"/>
          <w:color w:val="auto"/>
        </w:rPr>
        <w:tab/>
      </w:r>
      <w:r>
        <w:rPr>
          <w:rFonts w:ascii="Arial" w:cs="Arial" w:eastAsia="Arial" w:hAnsi="Arial"/>
          <w:sz w:val="21"/>
          <w:szCs w:val="21"/>
          <w:color w:val="auto"/>
        </w:rPr>
        <w:t>“FDA” means the United States Food and Drug Administration or any comparable directorate of food and drugs administration of any jurisdiction of the Territory into which Customer desires to file a regulatory submission.</w:t>
      </w:r>
    </w:p>
    <w:p>
      <w:pPr>
        <w:spacing w:after="0" w:line="15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1.16</w:t>
      </w:r>
      <w:r>
        <w:rPr>
          <w:sz w:val="20"/>
          <w:szCs w:val="20"/>
          <w:color w:val="auto"/>
        </w:rPr>
        <w:tab/>
      </w:r>
      <w:r>
        <w:rPr>
          <w:rFonts w:ascii="Arial" w:cs="Arial" w:eastAsia="Arial" w:hAnsi="Arial"/>
          <w:sz w:val="19"/>
          <w:szCs w:val="19"/>
          <w:color w:val="auto"/>
        </w:rPr>
        <w:t>“Field” means the treatment of moderate to severe hypoglycemia in adult or pediatric patients with type 1 diabetes.</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1.17</w:t>
      </w:r>
      <w:r>
        <w:rPr>
          <w:sz w:val="20"/>
          <w:szCs w:val="20"/>
          <w:color w:val="auto"/>
        </w:rPr>
        <w:tab/>
      </w:r>
      <w:r>
        <w:rPr>
          <w:rFonts w:ascii="Arial" w:cs="Arial" w:eastAsia="Arial" w:hAnsi="Arial"/>
          <w:sz w:val="19"/>
          <w:szCs w:val="19"/>
          <w:color w:val="auto"/>
        </w:rPr>
        <w:t>“Force Majeure Event” shall have the definition stated in Article 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6" w:right="239" w:bottom="1440" w:gutter="0" w:footer="0" w:header="0"/>
        </w:sectPr>
      </w:pPr>
    </w:p>
    <w:bookmarkStart w:id="65" w:name="page66"/>
    <w:bookmarkEnd w:id="65"/>
    <w:p>
      <w:pPr>
        <w:ind w:left="220" w:right="220" w:firstLine="279"/>
        <w:spacing w:after="0" w:line="281" w:lineRule="auto"/>
        <w:tabs>
          <w:tab w:leader="none" w:pos="973"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1.18</w:t>
      </w:r>
      <w:r>
        <w:rPr>
          <w:rFonts w:ascii="Arial" w:cs="Arial" w:eastAsia="Arial" w:hAnsi="Arial"/>
          <w:sz w:val="22"/>
          <w:szCs w:val="22"/>
          <w:color w:val="auto"/>
        </w:rPr>
        <w:tab/>
        <w:t>“Foreground Intellectual Property” means all information. Intellectual Property, works, discoveries, and creations mat have been or are made, conceived or identified in the course of the performance of the Joint Development Agreement or the Services.</w:t>
      </w:r>
    </w:p>
    <w:p>
      <w:pPr>
        <w:spacing w:after="0" w:line="185" w:lineRule="exact"/>
        <w:rPr>
          <w:sz w:val="20"/>
          <w:szCs w:val="20"/>
          <w:color w:val="auto"/>
        </w:rPr>
      </w:pPr>
    </w:p>
    <w:p>
      <w:pPr>
        <w:jc w:val="both"/>
        <w:ind w:left="980" w:hanging="647"/>
        <w:spacing w:after="0" w:line="275" w:lineRule="auto"/>
        <w:tabs>
          <w:tab w:leader="none" w:pos="960" w:val="left"/>
        </w:tabs>
        <w:rPr>
          <w:sz w:val="20"/>
          <w:szCs w:val="20"/>
          <w:color w:val="auto"/>
        </w:rPr>
      </w:pPr>
      <w:r>
        <w:rPr>
          <w:rFonts w:ascii="Arial" w:cs="Arial" w:eastAsia="Arial" w:hAnsi="Arial"/>
          <w:sz w:val="22"/>
          <w:szCs w:val="22"/>
          <w:color w:val="010000"/>
        </w:rPr>
        <w:t>1.19</w:t>
      </w:r>
      <w:r>
        <w:rPr>
          <w:sz w:val="20"/>
          <w:szCs w:val="20"/>
          <w:color w:val="auto"/>
        </w:rPr>
        <w:tab/>
      </w:r>
      <w:r>
        <w:rPr>
          <w:rFonts w:ascii="Arial" w:cs="Arial" w:eastAsia="Arial" w:hAnsi="Arial"/>
          <w:sz w:val="21"/>
          <w:szCs w:val="21"/>
          <w:color w:val="auto"/>
        </w:rPr>
        <w:t>“Good Manufacturing Practices” or “Current Good Manufacturing Practices” (“GMP” or “cGMP”) means those practices laid down in international guidelines and regulations such as the cGMP rules of the World Health Organization, ISO 13485, the United States Code of Federal Regulations {Title 21, Parts 210-211, as well as Parts 808, 812, 820 and QSR), Guidance for Industry and FDA Staff (cGMP Requirements for Combination Products), and the European Union Guide to Good Manufacturing Practice including Annexes in the production of Pharmaceutical Products, and any subsequent or future revisions of such guidelines and regulations.</w:t>
      </w:r>
    </w:p>
    <w:p>
      <w:pPr>
        <w:spacing w:after="0" w:line="17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1.20</w:t>
      </w:r>
      <w:r>
        <w:rPr>
          <w:sz w:val="20"/>
          <w:szCs w:val="20"/>
          <w:color w:val="auto"/>
        </w:rPr>
        <w:tab/>
      </w:r>
      <w:r>
        <w:rPr>
          <w:rFonts w:ascii="Arial" w:cs="Arial" w:eastAsia="Arial" w:hAnsi="Arial"/>
          <w:sz w:val="19"/>
          <w:szCs w:val="19"/>
          <w:color w:val="auto"/>
        </w:rPr>
        <w:t>“Indemnified Party” is defined in Section 15.3.</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1.21</w:t>
      </w:r>
      <w:r>
        <w:rPr>
          <w:sz w:val="20"/>
          <w:szCs w:val="20"/>
          <w:color w:val="auto"/>
        </w:rPr>
        <w:tab/>
      </w:r>
      <w:r>
        <w:rPr>
          <w:rFonts w:ascii="Arial" w:cs="Arial" w:eastAsia="Arial" w:hAnsi="Arial"/>
          <w:sz w:val="19"/>
          <w:szCs w:val="19"/>
          <w:color w:val="auto"/>
        </w:rPr>
        <w:t>“Indemnifying Party” is defined in Section 15.3.</w:t>
      </w:r>
    </w:p>
    <w:p>
      <w:pPr>
        <w:spacing w:after="0" w:line="233" w:lineRule="exact"/>
        <w:rPr>
          <w:sz w:val="20"/>
          <w:szCs w:val="20"/>
          <w:color w:val="auto"/>
        </w:rPr>
      </w:pPr>
    </w:p>
    <w:p>
      <w:pPr>
        <w:jc w:val="both"/>
        <w:ind w:left="980" w:hanging="647"/>
        <w:spacing w:after="0" w:line="302" w:lineRule="auto"/>
        <w:tabs>
          <w:tab w:leader="none" w:pos="960" w:val="left"/>
        </w:tabs>
        <w:rPr>
          <w:sz w:val="20"/>
          <w:szCs w:val="20"/>
          <w:color w:val="auto"/>
        </w:rPr>
      </w:pPr>
      <w:r>
        <w:rPr>
          <w:rFonts w:ascii="Arial" w:cs="Arial" w:eastAsia="Arial" w:hAnsi="Arial"/>
          <w:sz w:val="22"/>
          <w:szCs w:val="22"/>
          <w:color w:val="010000"/>
        </w:rPr>
        <w:t>1.22</w:t>
      </w:r>
      <w:r>
        <w:rPr>
          <w:sz w:val="20"/>
          <w:szCs w:val="20"/>
          <w:color w:val="auto"/>
        </w:rPr>
        <w:tab/>
      </w:r>
      <w:r>
        <w:rPr>
          <w:rFonts w:ascii="Arial" w:cs="Arial" w:eastAsia="Arial" w:hAnsi="Arial"/>
          <w:sz w:val="19"/>
          <w:szCs w:val="19"/>
          <w:color w:val="auto"/>
        </w:rPr>
        <w:t xml:space="preserve">“Intellectual Property” means all rights, whether registered or unregistered, in patents, patent applications, inventions, Know-How, trade secrets and other confidential information, trade dress, designs, copyrights (including, without limitation, rights in computer software), data, database rights and sin’ </w:t>
      </w:r>
      <w:r>
        <w:rPr>
          <w:rFonts w:ascii="Arial" w:cs="Arial" w:eastAsia="Arial" w:hAnsi="Arial"/>
          <w:sz w:val="19"/>
          <w:szCs w:val="19"/>
          <w:i w:val="1"/>
          <w:iCs w:val="1"/>
          <w:color w:val="auto"/>
        </w:rPr>
        <w:t>generis</w:t>
      </w:r>
      <w:r>
        <w:rPr>
          <w:rFonts w:ascii="Arial" w:cs="Arial" w:eastAsia="Arial" w:hAnsi="Arial"/>
          <w:sz w:val="19"/>
          <w:szCs w:val="19"/>
          <w:color w:val="auto"/>
        </w:rPr>
        <w:t xml:space="preserve"> rights, rights affording equivalent protection to copyrights, semiconductor topography rights, trademarks, service marks, trade dress, logos, domain names, business names, trade names, brand names, certification marks, assumed names and other indicators or origin, rights in any drawings, designs, plans, specifications, manuals, computer software, assets, inventor’s certificates and invention disclosures, writings and other works of authorship, whether copyright or not, bills of material, moral rights and all other industrial or intellectual property or other rights or forms of protection of a similar nature or having similar effect in any part of the world and rights in and in relation to them and, where appropriate, applications for any of them in any country or jurisdiction, rights in the nature of unfair competition rights, rights to sue for passing-off or dilution, the right to apply for any of them and all other information necessary for the technical exploration of any of the same and all registrations of or for the same.</w:t>
      </w:r>
    </w:p>
    <w:p>
      <w:pPr>
        <w:spacing w:after="0" w:line="200" w:lineRule="exact"/>
        <w:rPr>
          <w:sz w:val="20"/>
          <w:szCs w:val="20"/>
          <w:color w:val="auto"/>
        </w:rPr>
      </w:pP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19"/>
          <w:szCs w:val="19"/>
          <w:color w:val="auto"/>
        </w:rPr>
        <w:t>“Joint Development Agreement” is defined in the preamble to this Agreement.</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19"/>
          <w:szCs w:val="19"/>
          <w:color w:val="auto"/>
        </w:rPr>
        <w:t>“JSC” is defined in Section 4.1.</w:t>
      </w:r>
    </w:p>
    <w:p>
      <w:pPr>
        <w:spacing w:after="0" w:line="233"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1.25</w:t>
      </w:r>
      <w:r>
        <w:rPr>
          <w:rFonts w:ascii="Arial" w:cs="Arial" w:eastAsia="Arial" w:hAnsi="Arial"/>
          <w:sz w:val="22"/>
          <w:szCs w:val="22"/>
          <w:color w:val="auto"/>
        </w:rPr>
        <w:tab/>
        <w:t>“Know-How” means unpatented, unpublished, technical information (including, without limitation, information relating to inventions, discoveries, concepts, methodologies, models, research, development and testing procedures, the results of experiments, tests and trials, manufacturing processes, materials, formulae, formulations, processes, research or experimental results, techniques and specifications, quality control data, analyses, reports and submissions) that is not in the public domain.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6" w:right="239" w:bottom="1440" w:gutter="0" w:footer="0" w:header="0"/>
        </w:sectPr>
      </w:pPr>
    </w:p>
    <w:bookmarkStart w:id="66" w:name="page67"/>
    <w:bookmarkEnd w:id="66"/>
    <w:p>
      <w:pPr>
        <w:ind w:left="220" w:right="220" w:firstLine="279"/>
        <w:spacing w:after="0" w:line="281" w:lineRule="auto"/>
        <w:tabs>
          <w:tab w:leader="none" w:pos="973"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317" w:lineRule="auto"/>
        <w:tabs>
          <w:tab w:leader="none" w:pos="960" w:val="left"/>
        </w:tabs>
        <w:rPr>
          <w:sz w:val="20"/>
          <w:szCs w:val="20"/>
          <w:color w:val="auto"/>
        </w:rPr>
      </w:pPr>
      <w:r>
        <w:rPr>
          <w:rFonts w:ascii="Arial" w:cs="Arial" w:eastAsia="Arial" w:hAnsi="Arial"/>
          <w:sz w:val="22"/>
          <w:szCs w:val="22"/>
          <w:color w:val="010000"/>
        </w:rPr>
        <w:t>1.26</w:t>
      </w:r>
      <w:r>
        <w:rPr>
          <w:sz w:val="20"/>
          <w:szCs w:val="20"/>
          <w:color w:val="auto"/>
        </w:rPr>
        <w:tab/>
      </w:r>
      <w:r>
        <w:rPr>
          <w:rFonts w:ascii="Arial" w:cs="Arial" w:eastAsia="Arial" w:hAnsi="Arial"/>
          <w:sz w:val="19"/>
          <w:szCs w:val="19"/>
          <w:color w:val="auto"/>
        </w:rPr>
        <w:t>“Latent Defect” shall mean a hidden flaw, weakness or imperfection of the Device or Product (other than any such flaw, weakness or imperfection related to or stemming from the Primary Package and/or the Drug, Product) that cannot be readily ascertained from the mere observation or a reasonable or customary inspection of the Product Latent Defects do not include defects of the Product that were caused by wear and tear, gradual deterioration or contamination.</w:t>
      </w:r>
    </w:p>
    <w:p>
      <w:pPr>
        <w:spacing w:after="0" w:line="14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1.27</w:t>
      </w:r>
      <w:r>
        <w:rPr>
          <w:sz w:val="20"/>
          <w:szCs w:val="20"/>
          <w:color w:val="auto"/>
        </w:rPr>
        <w:tab/>
      </w:r>
      <w:r>
        <w:rPr>
          <w:rFonts w:ascii="Arial" w:cs="Arial" w:eastAsia="Arial" w:hAnsi="Arial"/>
          <w:sz w:val="19"/>
          <w:szCs w:val="19"/>
          <w:color w:val="auto"/>
        </w:rPr>
        <w:t>“Long Term Forecast” shall have the definition stated in Section 5.1.1.</w:t>
      </w:r>
    </w:p>
    <w:p>
      <w:pPr>
        <w:spacing w:after="0" w:line="233"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1.28</w:t>
      </w:r>
      <w:r>
        <w:rPr>
          <w:rFonts w:ascii="Arial" w:cs="Arial" w:eastAsia="Arial" w:hAnsi="Arial"/>
          <w:sz w:val="22"/>
          <w:szCs w:val="22"/>
          <w:color w:val="auto"/>
        </w:rPr>
        <w:tab/>
        <w:t>“Material Adverse Event” means the occurrence of, as shown based on one or more objective factors, any adverse circumstances or set of circumstances when taken individually or together with all other adverse changes or effects, which would make it commercially unreasonable to continue the Services.</w:t>
      </w:r>
    </w:p>
    <w:p>
      <w:pPr>
        <w:spacing w:after="0" w:line="185"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1.29</w:t>
      </w:r>
      <w:r>
        <w:rPr>
          <w:rFonts w:ascii="Arial" w:cs="Arial" w:eastAsia="Arial" w:hAnsi="Arial"/>
          <w:sz w:val="22"/>
          <w:szCs w:val="22"/>
          <w:color w:val="auto"/>
        </w:rPr>
        <w:tab/>
        <w:t>“Price” means the price charged by SHL for the Product, which shall include the cost of the Device, as further defined in Appendix A.</w:t>
      </w:r>
    </w:p>
    <w:p>
      <w:pPr>
        <w:spacing w:after="0" w:line="17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1.30</w:t>
      </w:r>
      <w:r>
        <w:rPr>
          <w:sz w:val="20"/>
          <w:szCs w:val="20"/>
          <w:color w:val="auto"/>
        </w:rPr>
        <w:tab/>
      </w:r>
      <w:r>
        <w:rPr>
          <w:rFonts w:ascii="Arial" w:cs="Arial" w:eastAsia="Arial" w:hAnsi="Arial"/>
          <w:sz w:val="19"/>
          <w:szCs w:val="19"/>
          <w:color w:val="auto"/>
        </w:rPr>
        <w:t>“Primary Packaging” means a 1.0 mL long pre-fuled syringe to be supplied by Customer and containing a dosage of</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0.5mg or l.0mg of Customer’s injectable Drug Product</w:t>
      </w:r>
    </w:p>
    <w:p>
      <w:pPr>
        <w:spacing w:after="0" w:line="229"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1.31</w:t>
      </w:r>
      <w:r>
        <w:rPr>
          <w:rFonts w:ascii="Arial" w:cs="Arial" w:eastAsia="Arial" w:hAnsi="Arial"/>
          <w:sz w:val="22"/>
          <w:szCs w:val="22"/>
          <w:color w:val="auto"/>
        </w:rPr>
        <w:tab/>
        <w:t>“Product” means the combination of the Primary Packaging and the Device, inclusive of labelling and bulk secondary packaging. For the avoidance of doubt, once fully assembled, the Product includes Customer’s Drug Product contained in the Primary Packaging, the Device, a Product label, and secondary bulk packaging and labeling approved in writing by Customer and provided by SHL.</w:t>
      </w:r>
    </w:p>
    <w:p>
      <w:pPr>
        <w:spacing w:after="0" w:line="18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1.32</w:t>
      </w:r>
      <w:r>
        <w:rPr>
          <w:sz w:val="20"/>
          <w:szCs w:val="20"/>
          <w:color w:val="auto"/>
        </w:rPr>
        <w:tab/>
      </w:r>
      <w:r>
        <w:rPr>
          <w:rFonts w:ascii="Arial" w:cs="Arial" w:eastAsia="Arial" w:hAnsi="Arial"/>
          <w:sz w:val="19"/>
          <w:szCs w:val="19"/>
          <w:color w:val="auto"/>
        </w:rPr>
        <w:t>“Purchase Order” shall have the definition stated in Section 5.2.1.</w:t>
      </w:r>
    </w:p>
    <w:p>
      <w:pPr>
        <w:spacing w:after="0" w:line="233"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1.33</w:t>
      </w:r>
      <w:r>
        <w:rPr>
          <w:rFonts w:ascii="Arial" w:cs="Arial" w:eastAsia="Arial" w:hAnsi="Arial"/>
          <w:sz w:val="22"/>
          <w:szCs w:val="22"/>
          <w:color w:val="auto"/>
        </w:rPr>
        <w:tab/>
        <w:t>“Quality Agreements” means the Quality Agreements entered into between Customer and SHL and between Customer and Scandinavian Health. The Quality Agreements shall include relevant Device and Product specifications, as applicable, and shall be amended from time to time as required. In the event of inconsistencies between this Agreement and the Quality Agreements, this Agreement shall control except for matters related to quality, compliance and regulatory affairs.</w:t>
      </w:r>
    </w:p>
    <w:p>
      <w:pPr>
        <w:spacing w:after="0" w:line="191"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1.34</w:t>
      </w:r>
      <w:r>
        <w:rPr>
          <w:sz w:val="20"/>
          <w:szCs w:val="20"/>
          <w:color w:val="auto"/>
        </w:rPr>
        <w:tab/>
      </w:r>
      <w:r>
        <w:rPr>
          <w:rFonts w:ascii="Arial" w:cs="Arial" w:eastAsia="Arial" w:hAnsi="Arial"/>
          <w:sz w:val="19"/>
          <w:szCs w:val="19"/>
          <w:color w:val="auto"/>
        </w:rPr>
        <w:t>“Rolling Forecast” shall have the definition stated in Section 5.1.2.</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1.35</w:t>
      </w:r>
      <w:r>
        <w:rPr>
          <w:sz w:val="20"/>
          <w:szCs w:val="20"/>
          <w:color w:val="auto"/>
        </w:rPr>
        <w:tab/>
      </w:r>
      <w:r>
        <w:rPr>
          <w:rFonts w:ascii="Arial" w:cs="Arial" w:eastAsia="Arial" w:hAnsi="Arial"/>
          <w:sz w:val="19"/>
          <w:szCs w:val="19"/>
          <w:color w:val="auto"/>
        </w:rPr>
        <w:t>“Scandinavian Health” is defined in the preamble to this Agreement.</w:t>
      </w:r>
    </w:p>
    <w:p>
      <w:pPr>
        <w:spacing w:after="0" w:line="233"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1.36</w:t>
      </w:r>
      <w:r>
        <w:rPr>
          <w:rFonts w:ascii="Arial" w:cs="Arial" w:eastAsia="Arial" w:hAnsi="Arial"/>
          <w:sz w:val="22"/>
          <w:szCs w:val="22"/>
          <w:color w:val="auto"/>
        </w:rPr>
        <w:tab/>
        <w:t>“Services” means (l) the manufacturing and supply of Devices by SHL’s Affiliate, Scandinavian Health, at the Facility located in Taoyuan, Taiwan; (ii) the applicable testing and quality release of the Devices by SHL’s Affiliate, Scandinavian Health, at the Facility located in Taoyuan, Taiwan, (iii) the transportation of the Devices from the Facility located m Taoyuan, Taiwan to the Facility located in Deerfield Beach, Florida;</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6" w:right="239" w:bottom="1440" w:gutter="0" w:footer="0" w:header="0"/>
        </w:sectPr>
      </w:pPr>
    </w:p>
    <w:bookmarkStart w:id="67" w:name="page68"/>
    <w:bookmarkEnd w:id="67"/>
    <w:p>
      <w:pPr>
        <w:ind w:left="220" w:right="220" w:firstLine="279"/>
        <w:spacing w:after="0" w:line="281" w:lineRule="auto"/>
        <w:tabs>
          <w:tab w:leader="none" w:pos="973"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jc w:val="both"/>
        <w:ind w:left="980"/>
        <w:spacing w:after="0" w:line="312" w:lineRule="auto"/>
        <w:tabs>
          <w:tab w:leader="none" w:pos="1387" w:val="left"/>
        </w:tabs>
        <w:numPr>
          <w:ilvl w:val="1"/>
          <w:numId w:val="41"/>
        </w:numPr>
        <w:rPr>
          <w:rFonts w:ascii="Arial" w:cs="Arial" w:eastAsia="Arial" w:hAnsi="Arial"/>
          <w:sz w:val="19"/>
          <w:szCs w:val="19"/>
          <w:color w:val="auto"/>
        </w:rPr>
      </w:pPr>
      <w:r>
        <w:rPr>
          <w:rFonts w:ascii="Arial" w:cs="Arial" w:eastAsia="Arial" w:hAnsi="Arial"/>
          <w:sz w:val="19"/>
          <w:szCs w:val="19"/>
          <w:color w:val="auto"/>
        </w:rPr>
        <w:t>incoming inspection and release of Devices and the assembly of the Devices and the Primary Packaging into Products by S1IL at the Facility located in Deerfield Beach, Florida; (v) the labeling and secondary bulk packaging of Products by SIIL at the Facility located in Deerfield Beach, Florida; (vi) the applicable testing, handling, and storage of the Devices, Primary Packaging and Products by SHL at the Facility located in Deerfield Beach, Florida. The Services identified in (i)-(vi) above are further described in Schedule A of this Agreement.</w:t>
      </w:r>
    </w:p>
    <w:p>
      <w:pPr>
        <w:spacing w:after="0" w:line="14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1.37</w:t>
      </w:r>
      <w:r>
        <w:rPr>
          <w:sz w:val="20"/>
          <w:szCs w:val="20"/>
          <w:color w:val="auto"/>
        </w:rPr>
        <w:tab/>
      </w:r>
      <w:r>
        <w:rPr>
          <w:rFonts w:ascii="Arial" w:cs="Arial" w:eastAsia="Arial" w:hAnsi="Arial"/>
          <w:sz w:val="19"/>
          <w:szCs w:val="19"/>
          <w:color w:val="auto"/>
        </w:rPr>
        <w:t>“Safety Stock” means a stock of SHL Materials at a level mutually agreed to by the Parties as specified in Appendix A.</w:t>
      </w:r>
    </w:p>
    <w:p>
      <w:pPr>
        <w:spacing w:after="0" w:line="233" w:lineRule="exact"/>
        <w:rPr>
          <w:sz w:val="20"/>
          <w:szCs w:val="20"/>
          <w:color w:val="auto"/>
        </w:rPr>
      </w:pPr>
    </w:p>
    <w:p>
      <w:pPr>
        <w:ind w:left="980" w:right="20" w:hanging="647"/>
        <w:spacing w:after="0" w:line="276" w:lineRule="auto"/>
        <w:tabs>
          <w:tab w:leader="none" w:pos="960" w:val="left"/>
        </w:tabs>
        <w:rPr>
          <w:sz w:val="20"/>
          <w:szCs w:val="20"/>
          <w:color w:val="auto"/>
        </w:rPr>
      </w:pPr>
      <w:r>
        <w:rPr>
          <w:rFonts w:ascii="Arial" w:cs="Arial" w:eastAsia="Arial" w:hAnsi="Arial"/>
          <w:sz w:val="22"/>
          <w:szCs w:val="22"/>
          <w:color w:val="010000"/>
        </w:rPr>
        <w:t>1.38</w:t>
      </w:r>
      <w:r>
        <w:rPr>
          <w:rFonts w:ascii="Arial" w:cs="Arial" w:eastAsia="Arial" w:hAnsi="Arial"/>
          <w:sz w:val="22"/>
          <w:szCs w:val="22"/>
          <w:color w:val="auto"/>
        </w:rPr>
        <w:tab/>
        <w:t>“SHL Materials” means, other than Customer Materials, the Device and any additional labelling and bulk packaging materials that are reasonably required for the performance of the Services.</w:t>
      </w:r>
    </w:p>
    <w:p>
      <w:pPr>
        <w:spacing w:after="0" w:line="17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1.39</w:t>
      </w:r>
      <w:r>
        <w:rPr>
          <w:sz w:val="20"/>
          <w:szCs w:val="20"/>
          <w:color w:val="auto"/>
        </w:rPr>
        <w:tab/>
      </w:r>
      <w:r>
        <w:rPr>
          <w:rFonts w:ascii="Arial" w:cs="Arial" w:eastAsia="Arial" w:hAnsi="Arial"/>
          <w:sz w:val="19"/>
          <w:szCs w:val="19"/>
          <w:color w:val="auto"/>
        </w:rPr>
        <w:t>“Term” shall have the definition stated under Section 14.1.</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1.40</w:t>
      </w:r>
      <w:r>
        <w:rPr>
          <w:sz w:val="20"/>
          <w:szCs w:val="20"/>
          <w:color w:val="auto"/>
        </w:rPr>
        <w:tab/>
      </w:r>
      <w:r>
        <w:rPr>
          <w:rFonts w:ascii="Arial" w:cs="Arial" w:eastAsia="Arial" w:hAnsi="Arial"/>
          <w:sz w:val="19"/>
          <w:szCs w:val="19"/>
          <w:color w:val="auto"/>
        </w:rPr>
        <w:t>“Territory” means the United States and any additional jurisdictions as agreed to in writing by the Parties.</w:t>
      </w:r>
    </w:p>
    <w:p>
      <w:pPr>
        <w:spacing w:after="0" w:line="233"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1.41</w:t>
      </w:r>
      <w:r>
        <w:rPr>
          <w:sz w:val="20"/>
          <w:szCs w:val="20"/>
          <w:color w:val="auto"/>
        </w:rPr>
        <w:tab/>
      </w:r>
      <w:r>
        <w:rPr>
          <w:rFonts w:ascii="Arial" w:cs="Arial" w:eastAsia="Arial" w:hAnsi="Arial"/>
          <w:sz w:val="19"/>
          <w:szCs w:val="19"/>
          <w:color w:val="auto"/>
        </w:rPr>
        <w:t>“Working Group” is defined in Section 4.5 of this Agreement.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2"/>
          <w:szCs w:val="22"/>
          <w:b w:val="1"/>
          <w:bCs w:val="1"/>
          <w:color w:val="010000"/>
        </w:rPr>
      </w:pPr>
      <w:r>
        <w:rPr>
          <w:rFonts w:ascii="Arial" w:cs="Arial" w:eastAsia="Arial" w:hAnsi="Arial"/>
          <w:sz w:val="22"/>
          <w:szCs w:val="22"/>
          <w:b w:val="1"/>
          <w:bCs w:val="1"/>
          <w:color w:val="auto"/>
        </w:rPr>
        <w:t>SERVICES</w:t>
      </w:r>
    </w:p>
    <w:p>
      <w:pPr>
        <w:spacing w:after="0" w:line="239" w:lineRule="exact"/>
        <w:rPr>
          <w:rFonts w:ascii="Arial" w:cs="Arial" w:eastAsia="Arial" w:hAnsi="Arial"/>
          <w:sz w:val="22"/>
          <w:szCs w:val="22"/>
          <w:b w:val="1"/>
          <w:bCs w:val="1"/>
          <w:color w:val="010000"/>
        </w:rPr>
      </w:pPr>
    </w:p>
    <w:p>
      <w:pPr>
        <w:ind w:left="980" w:hanging="648"/>
        <w:spacing w:after="0" w:line="279" w:lineRule="auto"/>
        <w:rPr>
          <w:rFonts w:ascii="Arial" w:cs="Arial" w:eastAsia="Arial" w:hAnsi="Arial"/>
          <w:sz w:val="22"/>
          <w:szCs w:val="22"/>
          <w:b w:val="1"/>
          <w:bCs w:val="1"/>
          <w:color w:val="010000"/>
        </w:rPr>
      </w:pPr>
      <w:r>
        <w:rPr>
          <w:rFonts w:ascii="Arial" w:cs="Arial" w:eastAsia="Arial" w:hAnsi="Arial"/>
          <w:sz w:val="21"/>
          <w:szCs w:val="21"/>
          <w:color w:val="010000"/>
        </w:rPr>
        <w:t xml:space="preserve">2.1 </w:t>
      </w:r>
      <w:r>
        <w:rPr>
          <w:rFonts w:ascii="Arial" w:cs="Arial" w:eastAsia="Arial" w:hAnsi="Arial"/>
          <w:sz w:val="21"/>
          <w:szCs w:val="21"/>
          <w:color w:val="000000"/>
        </w:rPr>
        <w:t>During the Term, Customer shall request and SHL or its Affiliates shall perform the Services as described in this</w:t>
      </w:r>
      <w:r>
        <w:rPr>
          <w:rFonts w:ascii="Arial" w:cs="Arial" w:eastAsia="Arial" w:hAnsi="Arial"/>
          <w:sz w:val="21"/>
          <w:szCs w:val="21"/>
          <w:color w:val="010000"/>
        </w:rPr>
        <w:t xml:space="preserve"> </w:t>
      </w:r>
      <w:r>
        <w:rPr>
          <w:rFonts w:ascii="Arial" w:cs="Arial" w:eastAsia="Arial" w:hAnsi="Arial"/>
          <w:sz w:val="21"/>
          <w:szCs w:val="21"/>
          <w:color w:val="000000"/>
        </w:rPr>
        <w:t>Agreement and Customer shall purchase Product requirements from SHL as described in this Agreement SHL shall be obligated to make available production capabilities sufficient to satisfy the Capacity Commitment and Customer shall be obligated to purchase Product requirements from SHL, as further defined in Section 2.5.</w:t>
      </w:r>
    </w:p>
    <w:p>
      <w:pPr>
        <w:spacing w:after="0" w:line="173" w:lineRule="exact"/>
        <w:rPr>
          <w:rFonts w:ascii="Arial" w:cs="Arial" w:eastAsia="Arial" w:hAnsi="Arial"/>
          <w:sz w:val="22"/>
          <w:szCs w:val="22"/>
          <w:b w:val="1"/>
          <w:bCs w:val="1"/>
          <w:color w:val="010000"/>
        </w:rPr>
      </w:pPr>
    </w:p>
    <w:p>
      <w:pPr>
        <w:ind w:left="980" w:hanging="648"/>
        <w:spacing w:after="0" w:line="309" w:lineRule="auto"/>
        <w:rPr>
          <w:rFonts w:ascii="Arial" w:cs="Arial" w:eastAsia="Arial" w:hAnsi="Arial"/>
          <w:sz w:val="22"/>
          <w:szCs w:val="22"/>
          <w:b w:val="1"/>
          <w:bCs w:val="1"/>
          <w:color w:val="010000"/>
        </w:rPr>
      </w:pPr>
      <w:r>
        <w:rPr>
          <w:rFonts w:ascii="Arial" w:cs="Arial" w:eastAsia="Arial" w:hAnsi="Arial"/>
          <w:sz w:val="19"/>
          <w:szCs w:val="19"/>
          <w:color w:val="010000"/>
        </w:rPr>
        <w:t xml:space="preserve">2.2 </w:t>
      </w:r>
      <w:r>
        <w:rPr>
          <w:rFonts w:ascii="Arial" w:cs="Arial" w:eastAsia="Arial" w:hAnsi="Arial"/>
          <w:sz w:val="19"/>
          <w:szCs w:val="19"/>
          <w:color w:val="000000"/>
        </w:rPr>
        <w:t>Product-specific operating assumptions and parameters are attached in Appendix A and may include but not he limited</w:t>
      </w:r>
      <w:r>
        <w:rPr>
          <w:rFonts w:ascii="Arial" w:cs="Arial" w:eastAsia="Arial" w:hAnsi="Arial"/>
          <w:sz w:val="19"/>
          <w:szCs w:val="19"/>
          <w:color w:val="010000"/>
        </w:rPr>
        <w:t xml:space="preserve"> </w:t>
      </w:r>
      <w:r>
        <w:rPr>
          <w:rFonts w:ascii="Arial" w:cs="Arial" w:eastAsia="Arial" w:hAnsi="Arial"/>
          <w:sz w:val="19"/>
          <w:szCs w:val="19"/>
          <w:color w:val="000000"/>
        </w:rPr>
        <w:t>to Device description, Primary Packaging description, secondary- and bulk packaging description, batch sizes or multiples, other SHL Materials to be supplied or produced, storage conditions, Services and Deliverables to be performed, Price and compensation therefor, and JSC representation. SHL or its Affiliates shall perform the Services as described and identified in this Agreement and provide Customer with all Deliverables identified. All appendices and other exhibits hereto shall be deemed to be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6" w:right="239" w:bottom="1440" w:gutter="0" w:footer="0" w:header="0"/>
        </w:sectPr>
      </w:pPr>
    </w:p>
    <w:bookmarkStart w:id="68" w:name="page69"/>
    <w:bookmarkEnd w:id="68"/>
    <w:p>
      <w:pPr>
        <w:ind w:left="220" w:right="220" w:firstLine="279"/>
        <w:spacing w:after="0" w:line="281" w:lineRule="auto"/>
        <w:tabs>
          <w:tab w:leader="none" w:pos="973"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21"/>
          <w:szCs w:val="21"/>
          <w:color w:val="auto"/>
        </w:rPr>
        <w:t>SHL possesses or will acquire quantities of SHL Materials that are required for the performance of the Services to fulfill Purchase Orders. SHL or its Affiliates shall ensure Devices used to assemble the Product will have remaining shelf-life of at least [***] at the time of Product assembly, as further described in Section 7.3 hereto. For the avoidance of doubt, SHL shall independently manage the supply and shelf-life of Device sub-assemblies from SHL’s Affiliate, Scandinavian Health, to ensure the above shelf-life requirements are satisfied.</w:t>
      </w:r>
    </w:p>
    <w:p>
      <w:pPr>
        <w:spacing w:after="0" w:line="178" w:lineRule="exact"/>
        <w:rPr>
          <w:sz w:val="20"/>
          <w:szCs w:val="20"/>
          <w:color w:val="auto"/>
        </w:rPr>
      </w:pPr>
    </w:p>
    <w:p>
      <w:pPr>
        <w:jc w:val="both"/>
        <w:ind w:left="980" w:hanging="647"/>
        <w:spacing w:after="0" w:line="306" w:lineRule="auto"/>
        <w:tabs>
          <w:tab w:leader="none" w:pos="960" w:val="left"/>
        </w:tabs>
        <w:rPr>
          <w:sz w:val="20"/>
          <w:szCs w:val="20"/>
          <w:color w:val="auto"/>
        </w:rPr>
      </w:pPr>
      <w:r>
        <w:rPr>
          <w:rFonts w:ascii="Arial" w:cs="Arial" w:eastAsia="Arial" w:hAnsi="Arial"/>
          <w:sz w:val="22"/>
          <w:szCs w:val="22"/>
          <w:color w:val="010000"/>
        </w:rPr>
        <w:t>2.4</w:t>
      </w:r>
      <w:r>
        <w:rPr>
          <w:sz w:val="20"/>
          <w:szCs w:val="20"/>
          <w:color w:val="auto"/>
        </w:rPr>
        <w:tab/>
      </w:r>
      <w:r>
        <w:rPr>
          <w:rFonts w:ascii="Arial" w:cs="Arial" w:eastAsia="Arial" w:hAnsi="Arial"/>
          <w:sz w:val="19"/>
          <w:szCs w:val="19"/>
          <w:color w:val="auto"/>
        </w:rPr>
        <w:t>SHL or its Affiliates shall perform the Services at the Facilities, in compliance with the Quality Agreements and all applicable laws and regulations, including applicable legislation concerning health, safety and environmental protection, and GMP, in effect on or after the Effective Date. All Deliverables made available to the Customer for delivery in accordance with this Agreement shall have been produced in accordance with the Quality Agreements and all applicable laws, the provisions of this Agreement, SHL’s standard operating procedures, and GMP. For the avoidance of doubt, SHL shall be obligated to ensure that SHL’s Affiliate, Scandinavian Health, complies with the compliance provisions herein through SHL’s supplier qualification and management program.</w:t>
      </w:r>
    </w:p>
    <w:p>
      <w:pPr>
        <w:spacing w:after="0" w:line="15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2.5</w:t>
      </w:r>
      <w:r>
        <w:rPr>
          <w:sz w:val="20"/>
          <w:szCs w:val="20"/>
          <w:color w:val="auto"/>
        </w:rPr>
        <w:tab/>
      </w:r>
      <w:r>
        <w:rPr>
          <w:rFonts w:ascii="Arial" w:cs="Arial" w:eastAsia="Arial" w:hAnsi="Arial"/>
          <w:sz w:val="19"/>
          <w:szCs w:val="19"/>
          <w:color w:val="auto"/>
        </w:rPr>
        <w:t>Subject to the obligations undertaken by Customer in Section 2.1 and after Customer has placed Purchase Orders for</w:t>
      </w:r>
    </w:p>
    <w:p>
      <w:pPr>
        <w:spacing w:after="0" w:line="22" w:lineRule="exact"/>
        <w:rPr>
          <w:sz w:val="20"/>
          <w:szCs w:val="20"/>
          <w:color w:val="auto"/>
        </w:rPr>
      </w:pPr>
    </w:p>
    <w:p>
      <w:pPr>
        <w:jc w:val="both"/>
        <w:ind w:left="980"/>
        <w:spacing w:after="0" w:line="296" w:lineRule="auto"/>
        <w:tabs>
          <w:tab w:leader="none" w:pos="1510" w:val="left"/>
        </w:tabs>
        <w:numPr>
          <w:ilvl w:val="0"/>
          <w:numId w:val="44"/>
        </w:numPr>
        <w:rPr>
          <w:rFonts w:ascii="Arial" w:cs="Arial" w:eastAsia="Arial" w:hAnsi="Arial"/>
          <w:sz w:val="19"/>
          <w:szCs w:val="19"/>
          <w:color w:val="auto"/>
        </w:rPr>
      </w:pPr>
      <w:r>
        <w:rPr>
          <w:rFonts w:ascii="Arial" w:cs="Arial" w:eastAsia="Arial" w:hAnsi="Arial"/>
          <w:sz w:val="19"/>
          <w:szCs w:val="19"/>
          <w:color w:val="auto"/>
        </w:rPr>
        <w:t>Products, Customer shall have the option to qualify and register an alternate site for Product assembly, if desired. SHL agrees to negotiate a separate supply agreement in good faith for SHL’s Affiliate Scandinavian Health, to sell Device sub-assemblies to Customer for Product assembly at an alternate site, as required, including quantities in advance for assembly equipment design and testing. Except in the event of a Force Majeure Event adversely affecting SHL’s ability to assemble Product in accordance with this Agreement, Customer agrees to purchase no greater than</w:t>
      </w:r>
    </w:p>
    <w:p>
      <w:pPr>
        <w:spacing w:after="0" w:line="3" w:lineRule="exact"/>
        <w:rPr>
          <w:rFonts w:ascii="Arial" w:cs="Arial" w:eastAsia="Arial" w:hAnsi="Arial"/>
          <w:sz w:val="19"/>
          <w:szCs w:val="19"/>
          <w:color w:val="auto"/>
        </w:rPr>
      </w:pPr>
    </w:p>
    <w:p>
      <w:pPr>
        <w:ind w:left="1500" w:hanging="520"/>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of Customer’s annual Product requirements from all alternate sites.</w:t>
      </w:r>
    </w:p>
    <w:p>
      <w:pPr>
        <w:spacing w:after="0" w:line="229"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2.6</w:t>
      </w:r>
      <w:r>
        <w:rPr>
          <w:sz w:val="20"/>
          <w:szCs w:val="20"/>
          <w:color w:val="auto"/>
        </w:rPr>
        <w:tab/>
      </w:r>
      <w:r>
        <w:rPr>
          <w:rFonts w:ascii="Arial" w:cs="Arial" w:eastAsia="Arial" w:hAnsi="Arial"/>
          <w:sz w:val="22"/>
          <w:szCs w:val="22"/>
          <w:color w:val="auto"/>
        </w:rPr>
        <w:t>SHL represents and warrants that SHL and/or its Affiliates have, and shall maintain throughout the Term, the capabilities and necessary certifications to provide the Services in accordance with applicable laws, regulations and GMP. SHL further represents that SHT, and/or its Affiliates have, and shall maintain throughout the Term, all necessary authorization to manufacture the Devices and SHL and its Affiliates have all necessary authorizations to assemble the Products.</w:t>
      </w:r>
    </w:p>
    <w:p>
      <w:pPr>
        <w:spacing w:after="0" w:line="191" w:lineRule="exact"/>
        <w:rPr>
          <w:sz w:val="20"/>
          <w:szCs w:val="20"/>
          <w:color w:val="auto"/>
        </w:rPr>
      </w:pPr>
    </w:p>
    <w:p>
      <w:pPr>
        <w:jc w:val="both"/>
        <w:ind w:left="980" w:hanging="647"/>
        <w:spacing w:after="0" w:line="260" w:lineRule="auto"/>
        <w:tabs>
          <w:tab w:leader="none" w:pos="960" w:val="left"/>
        </w:tabs>
        <w:rPr>
          <w:sz w:val="20"/>
          <w:szCs w:val="20"/>
          <w:color w:val="auto"/>
        </w:rPr>
      </w:pPr>
      <w:r>
        <w:rPr>
          <w:rFonts w:ascii="Arial" w:cs="Arial" w:eastAsia="Arial" w:hAnsi="Arial"/>
          <w:sz w:val="22"/>
          <w:szCs w:val="22"/>
          <w:color w:val="010000"/>
        </w:rPr>
        <w:t>2.7</w:t>
      </w:r>
      <w:r>
        <w:rPr>
          <w:sz w:val="20"/>
          <w:szCs w:val="20"/>
          <w:color w:val="auto"/>
        </w:rPr>
        <w:tab/>
      </w:r>
      <w:r>
        <w:rPr>
          <w:rFonts w:ascii="Arial" w:cs="Arial" w:eastAsia="Arial" w:hAnsi="Arial"/>
          <w:sz w:val="22"/>
          <w:szCs w:val="22"/>
          <w:color w:val="auto"/>
        </w:rPr>
        <w:t>SHL shall not subcontract any part of this Agreement to any third party or entity unless allowed by the Quality Agreements or otherwise consented to in writing by Customer, which consent shall not be unreasonably withheld. If such consent is given, SHL shall only subcontract with those parties that have executed a supply agreement and quality agreement containing provisions of the character and scope of this Agreement and Quality Agreements applicable to the Services. Customer acknowledges that in SHL’s performance of the Services pursuant to this Agreement, SHL may subcontract portions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6" w:right="239" w:bottom="1440" w:gutter="0" w:footer="0" w:header="0"/>
        </w:sectPr>
      </w:pPr>
    </w:p>
    <w:bookmarkStart w:id="69" w:name="page70"/>
    <w:bookmarkEnd w:id="69"/>
    <w:p>
      <w:pPr>
        <w:ind w:left="220" w:right="220" w:firstLine="279"/>
        <w:spacing w:after="0" w:line="281" w:lineRule="auto"/>
        <w:tabs>
          <w:tab w:leader="none" w:pos="973"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of the Services to its Affiliates as identified in this Agreement and in the Quality Agreements.</w:t>
      </w:r>
    </w:p>
    <w:p>
      <w:pPr>
        <w:spacing w:after="0" w:line="233" w:lineRule="exact"/>
        <w:rPr>
          <w:sz w:val="20"/>
          <w:szCs w:val="20"/>
          <w:color w:val="auto"/>
        </w:rPr>
      </w:pPr>
    </w:p>
    <w:p>
      <w:pPr>
        <w:jc w:val="both"/>
        <w:ind w:left="980" w:hanging="647"/>
        <w:spacing w:after="0" w:line="284" w:lineRule="auto"/>
        <w:tabs>
          <w:tab w:leader="none" w:pos="960" w:val="left"/>
        </w:tabs>
        <w:rPr>
          <w:sz w:val="20"/>
          <w:szCs w:val="20"/>
          <w:color w:val="auto"/>
        </w:rPr>
      </w:pPr>
      <w:r>
        <w:rPr>
          <w:rFonts w:ascii="Arial" w:cs="Arial" w:eastAsia="Arial" w:hAnsi="Arial"/>
          <w:sz w:val="22"/>
          <w:szCs w:val="22"/>
          <w:color w:val="010000"/>
        </w:rPr>
        <w:t>2.8</w:t>
      </w:r>
      <w:r>
        <w:rPr>
          <w:sz w:val="20"/>
          <w:szCs w:val="20"/>
          <w:color w:val="auto"/>
        </w:rPr>
        <w:tab/>
      </w:r>
      <w:r>
        <w:rPr>
          <w:rFonts w:ascii="Arial" w:cs="Arial" w:eastAsia="Arial" w:hAnsi="Arial"/>
          <w:sz w:val="21"/>
          <w:szCs w:val="21"/>
          <w:color w:val="auto"/>
        </w:rPr>
        <w:t>SHL shall ensure that its and/or its Affiliates’ employees, subcontractors, and agents abide by the terms and conditions of this Agreement, and any breach by any of its and/or its Affiliates’ employees, subcontractors, or agents of any such terms or conditions shall be deemed a breach of this Agreement by SHL.</w:t>
      </w:r>
    </w:p>
    <w:p>
      <w:pPr>
        <w:spacing w:after="0" w:line="169" w:lineRule="exact"/>
        <w:rPr>
          <w:sz w:val="20"/>
          <w:szCs w:val="20"/>
          <w:color w:val="auto"/>
        </w:rPr>
      </w:pPr>
    </w:p>
    <w:p>
      <w:pPr>
        <w:jc w:val="both"/>
        <w:ind w:left="980" w:right="20" w:hanging="647"/>
        <w:spacing w:after="0" w:line="276" w:lineRule="auto"/>
        <w:tabs>
          <w:tab w:leader="none" w:pos="960" w:val="left"/>
        </w:tabs>
        <w:rPr>
          <w:sz w:val="20"/>
          <w:szCs w:val="20"/>
          <w:color w:val="auto"/>
        </w:rPr>
      </w:pPr>
      <w:r>
        <w:rPr>
          <w:rFonts w:ascii="Arial" w:cs="Arial" w:eastAsia="Arial" w:hAnsi="Arial"/>
          <w:sz w:val="22"/>
          <w:szCs w:val="22"/>
          <w:color w:val="010000"/>
        </w:rPr>
        <w:t>2.9</w:t>
      </w:r>
      <w:r>
        <w:rPr>
          <w:sz w:val="20"/>
          <w:szCs w:val="20"/>
          <w:color w:val="auto"/>
        </w:rPr>
        <w:tab/>
      </w:r>
      <w:r>
        <w:rPr>
          <w:rFonts w:ascii="Arial" w:cs="Arial" w:eastAsia="Arial" w:hAnsi="Arial"/>
          <w:sz w:val="22"/>
          <w:szCs w:val="22"/>
          <w:color w:val="auto"/>
        </w:rPr>
        <w:t>SHL shall cause Scandinavian Health to not take, or to fail to take, any action that would be inconsistent with SHL’s performance of its obligations under this Agreement.</w:t>
      </w:r>
    </w:p>
    <w:p>
      <w:pPr>
        <w:spacing w:after="0" w:line="174"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2.10</w:t>
      </w:r>
      <w:r>
        <w:rPr>
          <w:rFonts w:ascii="Arial" w:cs="Arial" w:eastAsia="Arial" w:hAnsi="Arial"/>
          <w:sz w:val="22"/>
          <w:szCs w:val="22"/>
          <w:color w:val="auto"/>
        </w:rPr>
        <w:tab/>
        <w:t>EXCEPT AS EXPRESSLY SET FORTH IN THIS AGREEMENT, CUSTOMER AN D SHL MAKE NO OTHER REPRESENTATION OR WARRANTY, EXPRESS, OR IMPLIED, INCLUDING ANY WARRANTY OF MERCHANTABILITY OR OF FITNESS FOR A PURPOSE.</w:t>
      </w:r>
    </w:p>
    <w:p>
      <w:pPr>
        <w:spacing w:after="0" w:line="185" w:lineRule="exact"/>
        <w:rPr>
          <w:sz w:val="20"/>
          <w:szCs w:val="20"/>
          <w:color w:val="auto"/>
        </w:rPr>
      </w:pPr>
    </w:p>
    <w:p>
      <w:pPr>
        <w:jc w:val="both"/>
        <w:ind w:left="980" w:hanging="647"/>
        <w:spacing w:after="0" w:line="305" w:lineRule="auto"/>
        <w:tabs>
          <w:tab w:leader="none" w:pos="960" w:val="left"/>
        </w:tabs>
        <w:rPr>
          <w:sz w:val="20"/>
          <w:szCs w:val="20"/>
          <w:color w:val="auto"/>
        </w:rPr>
      </w:pPr>
      <w:r>
        <w:rPr>
          <w:rFonts w:ascii="Arial" w:cs="Arial" w:eastAsia="Arial" w:hAnsi="Arial"/>
          <w:sz w:val="22"/>
          <w:szCs w:val="22"/>
          <w:color w:val="010000"/>
        </w:rPr>
        <w:t>2.11</w:t>
      </w:r>
      <w:r>
        <w:rPr>
          <w:sz w:val="20"/>
          <w:szCs w:val="20"/>
          <w:color w:val="auto"/>
        </w:rPr>
        <w:tab/>
      </w:r>
      <w:r>
        <w:rPr>
          <w:rFonts w:ascii="Arial" w:cs="Arial" w:eastAsia="Arial" w:hAnsi="Arial"/>
          <w:sz w:val="19"/>
          <w:szCs w:val="19"/>
          <w:color w:val="auto"/>
        </w:rPr>
        <w:t>Customer and SHL or its Affiliates shall review and update the Quality Agreements from time to time, as required. The Quality Agreement shall in no way determine liability or financial responsibility of the Parties for the responsibilities set forth therein or under this Agreement. In the event of a conflict between the terms of this Agreement and the Quality Agreements, this Agreement shall control except for matters related to quality, compliance and regulatory affairs, which shall be controlled by the Quality Agreements. Separate from this Agreement and the Quality Agreements, SHL shall enter into a quality agreement with SHL’s Affiliate, Scandinavian Health, to manage the manufacturing, supply and quality of Device sub-assemblies purchased by SHL for use in the Product, and the terms of such quality agreement shall be comparable to those in Customer’s Quality Agreements with SHL and Scandinavian Health.</w:t>
      </w:r>
    </w:p>
    <w:p>
      <w:pPr>
        <w:spacing w:after="0" w:line="156" w:lineRule="exact"/>
        <w:rPr>
          <w:sz w:val="20"/>
          <w:szCs w:val="20"/>
          <w:color w:val="auto"/>
        </w:rPr>
      </w:pPr>
    </w:p>
    <w:p>
      <w:pPr>
        <w:jc w:val="both"/>
        <w:ind w:left="980" w:hanging="647"/>
        <w:spacing w:after="0" w:line="272" w:lineRule="auto"/>
        <w:tabs>
          <w:tab w:leader="none" w:pos="960" w:val="left"/>
        </w:tabs>
        <w:rPr>
          <w:sz w:val="20"/>
          <w:szCs w:val="20"/>
          <w:color w:val="auto"/>
        </w:rPr>
      </w:pPr>
      <w:r>
        <w:rPr>
          <w:rFonts w:ascii="Arial" w:cs="Arial" w:eastAsia="Arial" w:hAnsi="Arial"/>
          <w:sz w:val="22"/>
          <w:szCs w:val="22"/>
          <w:color w:val="010000"/>
        </w:rPr>
        <w:t>2.12</w:t>
      </w:r>
      <w:r>
        <w:rPr>
          <w:sz w:val="20"/>
          <w:szCs w:val="20"/>
          <w:color w:val="auto"/>
        </w:rPr>
        <w:tab/>
      </w:r>
      <w:r>
        <w:rPr>
          <w:rFonts w:ascii="Arial" w:cs="Arial" w:eastAsia="Arial" w:hAnsi="Arial"/>
          <w:sz w:val="21"/>
          <w:szCs w:val="21"/>
          <w:color w:val="auto"/>
        </w:rPr>
        <w:t>SHL warrants that neither SIIL and its Affiliates, nor any of the employees or agents performing Services under this Agreement (i) have been debarred, and to the best of the SHL’s knowledge, are not under consideration to be debarred, by the FDA from working in or providing services to any pharmaceutical or biotechnology company under tine Generic Drug Enforcement Act of 1992 or any other equivalent or successor statutes, rules or regulations, whether foreign or domestic; or (ii) have been excluded, debarred, suspended or are otherwise ineligible to participate in federal healthcare programs or m federal procurement or non-procurement programs (as that term is defined in 42 U.S.C. 1320a-7b(f)) or convicted of a criminal offense related to the provision of healthcare items or services, but has not yet been debarred, suspended, proposed for debarment or otherwise determined to be ineligible to participate in federal healthcare programs.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2"/>
          <w:szCs w:val="22"/>
          <w:b w:val="1"/>
          <w:bCs w:val="1"/>
          <w:color w:val="010000"/>
        </w:rPr>
      </w:pPr>
      <w:r>
        <w:rPr>
          <w:rFonts w:ascii="Arial" w:cs="Arial" w:eastAsia="Arial" w:hAnsi="Arial"/>
          <w:sz w:val="22"/>
          <w:szCs w:val="22"/>
          <w:b w:val="1"/>
          <w:bCs w:val="1"/>
          <w:color w:val="auto"/>
        </w:rPr>
        <w:t>SUPPLY OF CUSTOMER MATERIALS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6" w:right="239" w:bottom="1440" w:gutter="0" w:footer="0" w:header="0"/>
        </w:sectPr>
      </w:pPr>
    </w:p>
    <w:bookmarkStart w:id="70" w:name="page71"/>
    <w:bookmarkEnd w:id="70"/>
    <w:p>
      <w:pPr>
        <w:ind w:left="220" w:right="220" w:firstLine="279"/>
        <w:spacing w:after="0" w:line="281" w:lineRule="auto"/>
        <w:tabs>
          <w:tab w:leader="none" w:pos="973"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302" w:lineRule="auto"/>
        <w:tabs>
          <w:tab w:leader="none" w:pos="960" w:val="left"/>
        </w:tabs>
        <w:rPr>
          <w:sz w:val="20"/>
          <w:szCs w:val="20"/>
          <w:color w:val="auto"/>
        </w:rPr>
      </w:pPr>
      <w:r>
        <w:rPr>
          <w:rFonts w:ascii="Arial" w:cs="Arial" w:eastAsia="Arial" w:hAnsi="Arial"/>
          <w:sz w:val="22"/>
          <w:szCs w:val="22"/>
          <w:color w:val="010000"/>
        </w:rPr>
        <w:t>3.1</w:t>
      </w:r>
      <w:r>
        <w:rPr>
          <w:sz w:val="20"/>
          <w:szCs w:val="20"/>
          <w:color w:val="auto"/>
        </w:rPr>
        <w:tab/>
      </w:r>
      <w:r>
        <w:rPr>
          <w:rFonts w:ascii="Arial" w:cs="Arial" w:eastAsia="Arial" w:hAnsi="Arial"/>
          <w:sz w:val="19"/>
          <w:szCs w:val="19"/>
          <w:color w:val="auto"/>
        </w:rPr>
        <w:t>Customer agrees to provide SHL and its Affiliates with quantities of Customer Materials and related quality documentation, as necessary or useful for SHL and its Affiliates and in sufficient quantities necessary to conduct the Services, as needed by SHL and its Affiliates for: (i) the release tests of the Devices, (ii) the assembly of the Products, and (iii) the testing and release of the Products. Unless otherwise agreed to in wilting by the Parties, deliveries of Customer Materials for the assembly of die Products must be at least [***] prior to the delivery date of the Products. Customer shall deliver such Customer Materials to SHL DDP Facility (Incoterms 2010), either to the Facility located at Deerfield Beach, Florida, or at the Facility located at Taoyuan, Taiwan, as indicated in writing by SHL. SHL and its Affiliates shall use Customer Materials solely to conduct the Services within the Facility and may not use the Customer Materials for any other purpose. By way of example, SHL and its Affiliates shall not produce any modified or unmodified derivatives of die Customer Materials, and shall not attempt to analyze the Customer Materials for its chemical composition or microbiological aspect. Customer acknowledges that sufficient and rim ply supply of Customer Materials is crucial for completion of the Services in a timely fashion.</w:t>
      </w:r>
    </w:p>
    <w:p>
      <w:pPr>
        <w:spacing w:after="0" w:line="158"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3.2</w:t>
      </w:r>
      <w:r>
        <w:rPr>
          <w:sz w:val="20"/>
          <w:szCs w:val="20"/>
          <w:color w:val="auto"/>
        </w:rPr>
        <w:tab/>
      </w:r>
      <w:r>
        <w:rPr>
          <w:rFonts w:ascii="Arial" w:cs="Arial" w:eastAsia="Arial" w:hAnsi="Arial"/>
          <w:sz w:val="22"/>
          <w:szCs w:val="22"/>
          <w:color w:val="auto"/>
        </w:rPr>
        <w:t>If applicable, the Parties will cooperate with and assist each other as may be reasonably necessary to permit the import of the Customer Materials into the jurisdiction where the Services will be performed.</w:t>
      </w:r>
    </w:p>
    <w:p>
      <w:pPr>
        <w:spacing w:after="0" w:line="174"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3.3</w:t>
      </w:r>
      <w:r>
        <w:rPr>
          <w:sz w:val="20"/>
          <w:szCs w:val="20"/>
          <w:color w:val="auto"/>
        </w:rPr>
        <w:tab/>
      </w:r>
      <w:r>
        <w:rPr>
          <w:rFonts w:ascii="Arial" w:cs="Arial" w:eastAsia="Arial" w:hAnsi="Arial"/>
          <w:sz w:val="22"/>
          <w:szCs w:val="22"/>
          <w:color w:val="auto"/>
        </w:rPr>
        <w:t>SHL shall not distribute or release any Customer Materials to any third party unless allowed by the Quality Agreements or otherwise instructed by Customer in writing. In addition, Customer Materials shall be used solely by SHL’s or SHL’s Affiliates’ employees and agents who are working directly on the Services. SHL or its Affiliates may not file for patent protection or other similar governmental rights on any invention encompassing, utilizing, or disclosing any Customer Materials.</w:t>
      </w:r>
    </w:p>
    <w:p>
      <w:pPr>
        <w:spacing w:after="0" w:line="191" w:lineRule="exact"/>
        <w:rPr>
          <w:sz w:val="20"/>
          <w:szCs w:val="20"/>
          <w:color w:val="auto"/>
        </w:rPr>
      </w:pPr>
    </w:p>
    <w:p>
      <w:pPr>
        <w:jc w:val="both"/>
        <w:ind w:left="980" w:hanging="647"/>
        <w:spacing w:after="0" w:line="297" w:lineRule="auto"/>
        <w:tabs>
          <w:tab w:leader="none" w:pos="960" w:val="left"/>
        </w:tabs>
        <w:rPr>
          <w:sz w:val="20"/>
          <w:szCs w:val="20"/>
          <w:color w:val="auto"/>
        </w:rPr>
      </w:pPr>
      <w:r>
        <w:rPr>
          <w:rFonts w:ascii="Arial" w:cs="Arial" w:eastAsia="Arial" w:hAnsi="Arial"/>
          <w:sz w:val="22"/>
          <w:szCs w:val="22"/>
          <w:color w:val="010000"/>
        </w:rPr>
        <w:t>3.4</w:t>
      </w:r>
      <w:r>
        <w:rPr>
          <w:sz w:val="20"/>
          <w:szCs w:val="20"/>
          <w:color w:val="auto"/>
        </w:rPr>
        <w:tab/>
      </w:r>
      <w:r>
        <w:rPr>
          <w:rFonts w:ascii="Arial" w:cs="Arial" w:eastAsia="Arial" w:hAnsi="Arial"/>
          <w:sz w:val="19"/>
          <w:szCs w:val="19"/>
          <w:color w:val="auto"/>
        </w:rPr>
        <w:t>All right, title, and interest in and to the Drug Product, Primary Packaging, and Customer Materials shall remain in Customer notwithstanding the transfer to and use by SHL or its Affiliates hereunder of the Customer Materials. Except for the right to use Customer Materials as expressly described herein, there are no grants of any right, license, or privilege under any patents, trade secrets, or other intellectual property rights to SHL or its Affiliates. SHL recognizes that Customer provides Customer Materials “as is”. CUSTOMER MAKES NO WARRANTIES OF ANY KIND,</w:t>
      </w:r>
    </w:p>
    <w:p>
      <w:pPr>
        <w:spacing w:after="0" w:line="3" w:lineRule="exact"/>
        <w:rPr>
          <w:sz w:val="20"/>
          <w:szCs w:val="20"/>
          <w:color w:val="auto"/>
        </w:rPr>
      </w:pPr>
    </w:p>
    <w:p>
      <w:pPr>
        <w:jc w:val="both"/>
        <w:ind w:left="980"/>
        <w:spacing w:after="0" w:line="264" w:lineRule="auto"/>
        <w:rPr>
          <w:sz w:val="20"/>
          <w:szCs w:val="20"/>
          <w:color w:val="auto"/>
        </w:rPr>
      </w:pPr>
      <w:r>
        <w:rPr>
          <w:rFonts w:ascii="Arial" w:cs="Arial" w:eastAsia="Arial" w:hAnsi="Arial"/>
          <w:sz w:val="22"/>
          <w:szCs w:val="22"/>
          <w:color w:val="auto"/>
        </w:rPr>
        <w:t>EITHER EXPRESS OR IMPLIED, WITH RESPECT TO CUSTOMER MATERIAL AND EXPRESSLY DISCLAIMS ALL IMPLIED WARRANTIES, INCLUDING, WIHIOUT LIMITATION, THOSE OF MERCIIANTABILJTY AND FITNESS FOR A PARTICULAR USE.</w:t>
      </w:r>
    </w:p>
    <w:p>
      <w:pPr>
        <w:spacing w:after="0" w:line="187" w:lineRule="exact"/>
        <w:rPr>
          <w:sz w:val="20"/>
          <w:szCs w:val="20"/>
          <w:color w:val="auto"/>
        </w:rPr>
      </w:pPr>
    </w:p>
    <w:p>
      <w:pPr>
        <w:ind w:left="980" w:right="20" w:hanging="647"/>
        <w:spacing w:after="0" w:line="276" w:lineRule="auto"/>
        <w:tabs>
          <w:tab w:leader="none" w:pos="960" w:val="left"/>
        </w:tabs>
        <w:rPr>
          <w:sz w:val="20"/>
          <w:szCs w:val="20"/>
          <w:color w:val="auto"/>
        </w:rPr>
      </w:pPr>
      <w:r>
        <w:rPr>
          <w:rFonts w:ascii="Arial" w:cs="Arial" w:eastAsia="Arial" w:hAnsi="Arial"/>
          <w:sz w:val="22"/>
          <w:szCs w:val="22"/>
          <w:color w:val="010000"/>
        </w:rPr>
        <w:t>3.5</w:t>
      </w:r>
      <w:r>
        <w:rPr>
          <w:sz w:val="20"/>
          <w:szCs w:val="20"/>
          <w:color w:val="auto"/>
        </w:rPr>
        <w:tab/>
      </w:r>
      <w:r>
        <w:rPr>
          <w:rFonts w:ascii="Arial" w:cs="Arial" w:eastAsia="Arial" w:hAnsi="Arial"/>
          <w:sz w:val="22"/>
          <w:szCs w:val="22"/>
          <w:color w:val="auto"/>
        </w:rPr>
        <w:t>Within [***] after receiving any Customer Materials, SHL or its Affiliates will inspect such Customer Materials and will promptly notify Customer to the extent such Customer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6" w:right="239" w:bottom="1440" w:gutter="0" w:footer="0" w:header="0"/>
        </w:sectPr>
      </w:pPr>
    </w:p>
    <w:bookmarkStart w:id="71" w:name="page72"/>
    <w:bookmarkEnd w:id="71"/>
    <w:p>
      <w:pPr>
        <w:ind w:left="220" w:right="220" w:firstLine="279"/>
        <w:spacing w:after="0" w:line="281" w:lineRule="auto"/>
        <w:tabs>
          <w:tab w:leader="none" w:pos="973"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right="20"/>
        <w:spacing w:after="0" w:line="276" w:lineRule="auto"/>
        <w:rPr>
          <w:sz w:val="20"/>
          <w:szCs w:val="20"/>
          <w:color w:val="auto"/>
        </w:rPr>
      </w:pPr>
      <w:r>
        <w:rPr>
          <w:rFonts w:ascii="Arial" w:cs="Arial" w:eastAsia="Arial" w:hAnsi="Arial"/>
          <w:sz w:val="22"/>
          <w:szCs w:val="22"/>
          <w:color w:val="auto"/>
        </w:rPr>
        <w:t>Materials do not conform to the applicable specifications, provided however, within [***] of receipt, SHL shall notify Customer of any apparent transportation damage.</w:t>
      </w:r>
    </w:p>
    <w:p>
      <w:pPr>
        <w:spacing w:after="0" w:line="174" w:lineRule="exact"/>
        <w:rPr>
          <w:sz w:val="20"/>
          <w:szCs w:val="20"/>
          <w:color w:val="auto"/>
        </w:rPr>
      </w:pPr>
    </w:p>
    <w:p>
      <w:pPr>
        <w:jc w:val="both"/>
        <w:ind w:left="980" w:hanging="647"/>
        <w:spacing w:after="0" w:line="312" w:lineRule="auto"/>
        <w:tabs>
          <w:tab w:leader="none" w:pos="960" w:val="left"/>
        </w:tabs>
        <w:rPr>
          <w:sz w:val="20"/>
          <w:szCs w:val="20"/>
          <w:color w:val="auto"/>
        </w:rPr>
      </w:pPr>
      <w:r>
        <w:rPr>
          <w:rFonts w:ascii="Arial" w:cs="Arial" w:eastAsia="Arial" w:hAnsi="Arial"/>
          <w:sz w:val="22"/>
          <w:szCs w:val="22"/>
          <w:color w:val="010000"/>
        </w:rPr>
        <w:t>3.6</w:t>
      </w:r>
      <w:r>
        <w:rPr>
          <w:sz w:val="20"/>
          <w:szCs w:val="20"/>
          <w:color w:val="auto"/>
        </w:rPr>
        <w:tab/>
      </w:r>
      <w:r>
        <w:rPr>
          <w:rFonts w:ascii="Arial" w:cs="Arial" w:eastAsia="Arial" w:hAnsi="Arial"/>
          <w:sz w:val="19"/>
          <w:szCs w:val="19"/>
          <w:color w:val="auto"/>
        </w:rPr>
        <w:t>Any loss of or damage to the Customer Materials, caused as a result of SHL’s or of its Affiliates’ negligence or intentional misconduct from the time the Customer Materials arrive at SHL’s facility shall be borne by SHL. SHL’s risks of loss and damage over the Customer Materials shall cease upon the delivery of the Products to Customer. For purposes of clarity, SHL’s risks of loss and damage with respect to the Customer Materials shall be limited to the replacement cost of the lost or damaged Customer Materials and shall be subject to the terms of Sections 3.10, 15.5 and Article 11.</w:t>
      </w:r>
    </w:p>
    <w:p>
      <w:pPr>
        <w:spacing w:after="0" w:line="146"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3.7</w:t>
      </w:r>
      <w:r>
        <w:rPr>
          <w:sz w:val="20"/>
          <w:szCs w:val="20"/>
          <w:color w:val="auto"/>
        </w:rPr>
        <w:tab/>
      </w:r>
      <w:r>
        <w:rPr>
          <w:rFonts w:ascii="Arial" w:cs="Arial" w:eastAsia="Arial" w:hAnsi="Arial"/>
          <w:sz w:val="22"/>
          <w:szCs w:val="22"/>
          <w:color w:val="auto"/>
        </w:rPr>
        <w:t>Customer shall ensure that clear handling, use, and storage instructions are provided to SHL for all Customer Materials, in accordance with Appendix A and the Quality Agreements, and including any precautions or other special measures that SHL should be made aware of.</w:t>
      </w:r>
    </w:p>
    <w:p>
      <w:pPr>
        <w:spacing w:after="0" w:line="185"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3.8</w:t>
      </w:r>
      <w:r>
        <w:rPr>
          <w:sz w:val="20"/>
          <w:szCs w:val="20"/>
          <w:color w:val="auto"/>
        </w:rPr>
        <w:tab/>
      </w:r>
      <w:r>
        <w:rPr>
          <w:rFonts w:ascii="Arial" w:cs="Arial" w:eastAsia="Arial" w:hAnsi="Arial"/>
          <w:sz w:val="22"/>
          <w:szCs w:val="22"/>
          <w:color w:val="auto"/>
        </w:rPr>
        <w:t>SHL or its Affiliates shall handle, use and store the Customer Materials in accordance with Appendix A, the Quality Agreements, and all applicable laws, regulations and GMP.</w:t>
      </w:r>
    </w:p>
    <w:p>
      <w:pPr>
        <w:spacing w:after="0" w:line="174"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3.9</w:t>
      </w:r>
      <w:r>
        <w:rPr>
          <w:sz w:val="20"/>
          <w:szCs w:val="20"/>
          <w:color w:val="auto"/>
        </w:rPr>
        <w:tab/>
      </w:r>
      <w:r>
        <w:rPr>
          <w:rFonts w:ascii="Arial" w:cs="Arial" w:eastAsia="Arial" w:hAnsi="Arial"/>
          <w:sz w:val="22"/>
          <w:szCs w:val="22"/>
          <w:color w:val="auto"/>
        </w:rPr>
        <w:t>At the request of Customer, SHL shall return or destroy any Customer Materials in its possession, with written certification of such destruction provided upon Customer’s request, upon the completion of the Services, or the termination or expiration of this Agreement, subject to the terms of Section 3.10. Any costs associated with such request shall be borne by the Customer.</w:t>
      </w:r>
    </w:p>
    <w:p>
      <w:pPr>
        <w:spacing w:after="0" w:line="188" w:lineRule="exact"/>
        <w:rPr>
          <w:sz w:val="20"/>
          <w:szCs w:val="20"/>
          <w:color w:val="auto"/>
        </w:rPr>
      </w:pPr>
    </w:p>
    <w:p>
      <w:pPr>
        <w:jc w:val="both"/>
        <w:ind w:left="980" w:hanging="647"/>
        <w:spacing w:after="0" w:line="260" w:lineRule="auto"/>
        <w:tabs>
          <w:tab w:leader="none" w:pos="960" w:val="left"/>
        </w:tabs>
        <w:rPr>
          <w:sz w:val="20"/>
          <w:szCs w:val="20"/>
          <w:color w:val="auto"/>
        </w:rPr>
      </w:pPr>
      <w:r>
        <w:rPr>
          <w:rFonts w:ascii="Arial" w:cs="Arial" w:eastAsia="Arial" w:hAnsi="Arial"/>
          <w:sz w:val="22"/>
          <w:szCs w:val="22"/>
          <w:color w:val="010000"/>
        </w:rPr>
        <w:t>3.10</w:t>
      </w:r>
      <w:r>
        <w:rPr>
          <w:rFonts w:ascii="Arial" w:cs="Arial" w:eastAsia="Arial" w:hAnsi="Arial"/>
          <w:sz w:val="22"/>
          <w:szCs w:val="22"/>
          <w:color w:val="auto"/>
        </w:rPr>
        <w:tab/>
        <w:t>Customer acknowledges that, in accordance with applicable laws, SHL may not be able to return to Customer the Customer Materials upon completion of the Services, expiry or termination of this Agreement. Should SHL be unable to return the Customer Materials upon completion of the Services, expiry or termination of this Agreement, SHL shall notify Customer in advance, destroy the materials at Customer’s cost and expense, and provide Customer with a certificate of destruction. Customer may not seek any compensation or refund upon the occurrence of such discarding or destruction.</w:t>
      </w:r>
    </w:p>
    <w:p>
      <w:pPr>
        <w:spacing w:after="0" w:line="18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2"/>
          <w:szCs w:val="22"/>
          <w:b w:val="1"/>
          <w:bCs w:val="1"/>
          <w:color w:val="010000"/>
        </w:rPr>
      </w:pPr>
      <w:r>
        <w:rPr>
          <w:rFonts w:ascii="Arial" w:cs="Arial" w:eastAsia="Arial" w:hAnsi="Arial"/>
          <w:sz w:val="22"/>
          <w:szCs w:val="22"/>
          <w:b w:val="1"/>
          <w:bCs w:val="1"/>
          <w:color w:val="auto"/>
        </w:rPr>
        <w:t>PROJECT GOVERNANCE</w:t>
      </w:r>
    </w:p>
    <w:p>
      <w:pPr>
        <w:spacing w:after="0" w:line="239" w:lineRule="exact"/>
        <w:rPr>
          <w:rFonts w:ascii="Arial" w:cs="Arial" w:eastAsia="Arial" w:hAnsi="Arial"/>
          <w:sz w:val="22"/>
          <w:szCs w:val="22"/>
          <w:b w:val="1"/>
          <w:bCs w:val="1"/>
          <w:color w:val="010000"/>
        </w:rPr>
      </w:pPr>
    </w:p>
    <w:p>
      <w:pPr>
        <w:ind w:left="980" w:hanging="648"/>
        <w:spacing w:after="0" w:line="309" w:lineRule="auto"/>
        <w:rPr>
          <w:rFonts w:ascii="Arial" w:cs="Arial" w:eastAsia="Arial" w:hAnsi="Arial"/>
          <w:sz w:val="22"/>
          <w:szCs w:val="22"/>
          <w:b w:val="1"/>
          <w:bCs w:val="1"/>
          <w:color w:val="010000"/>
        </w:rPr>
      </w:pPr>
      <w:r>
        <w:rPr>
          <w:rFonts w:ascii="Arial" w:cs="Arial" w:eastAsia="Arial" w:hAnsi="Arial"/>
          <w:sz w:val="19"/>
          <w:szCs w:val="19"/>
          <w:color w:val="010000"/>
        </w:rPr>
        <w:t xml:space="preserve">4.1 </w:t>
      </w:r>
      <w:r>
        <w:rPr>
          <w:rFonts w:ascii="Arial" w:cs="Arial" w:eastAsia="Arial" w:hAnsi="Arial"/>
          <w:sz w:val="19"/>
          <w:szCs w:val="19"/>
          <w:color w:val="000000"/>
        </w:rPr>
        <w:t>Joint Steering Committee: As soon as reasonably practicable after the Effective Date, the Parties shall establish an</w:t>
      </w:r>
      <w:r>
        <w:rPr>
          <w:rFonts w:ascii="Arial" w:cs="Arial" w:eastAsia="Arial" w:hAnsi="Arial"/>
          <w:sz w:val="19"/>
          <w:szCs w:val="19"/>
          <w:color w:val="010000"/>
        </w:rPr>
        <w:t xml:space="preserve"> </w:t>
      </w:r>
      <w:r>
        <w:rPr>
          <w:rFonts w:ascii="Arial" w:cs="Arial" w:eastAsia="Arial" w:hAnsi="Arial"/>
          <w:sz w:val="19"/>
          <w:szCs w:val="19"/>
          <w:color w:val="000000"/>
        </w:rPr>
        <w:t>executive lead team to be known as the joint steering committee (the “JSC”) to oversee, review, and coordinate the Services, and Deliverables. All other committees or Working Groups established under this Agreement shall be subordinate to the JSC. The JSC will be comprised of representatives designated by SHL (including representatives from SHL’s Affiliate Scandinavian Health, as desired) and Customer, appointed at the sole discretion of the respective Parties. Substitute representatives may be appointed at any time upon written notice to the other Party. The</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6" w:right="239" w:bottom="1440" w:gutter="0" w:footer="0" w:header="0"/>
        </w:sectPr>
      </w:pPr>
    </w:p>
    <w:bookmarkStart w:id="72" w:name="page73"/>
    <w:bookmarkEnd w:id="72"/>
    <w:p>
      <w:pPr>
        <w:ind w:left="220" w:right="220" w:firstLine="279"/>
        <w:spacing w:after="0" w:line="281" w:lineRule="auto"/>
        <w:tabs>
          <w:tab w:leader="none" w:pos="973"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right="20"/>
        <w:spacing w:after="0" w:line="276" w:lineRule="auto"/>
        <w:rPr>
          <w:sz w:val="20"/>
          <w:szCs w:val="20"/>
          <w:color w:val="auto"/>
        </w:rPr>
      </w:pPr>
      <w:r>
        <w:rPr>
          <w:rFonts w:ascii="Arial" w:cs="Arial" w:eastAsia="Arial" w:hAnsi="Arial"/>
          <w:sz w:val="22"/>
          <w:szCs w:val="22"/>
          <w:color w:val="auto"/>
        </w:rPr>
        <w:t>JSC will be chaired by joint chairpersons appointed by (he Parties. The initial composition of the JSC is provided in Appendix A.</w:t>
      </w:r>
    </w:p>
    <w:p>
      <w:pPr>
        <w:spacing w:after="0" w:line="174" w:lineRule="exact"/>
        <w:rPr>
          <w:sz w:val="20"/>
          <w:szCs w:val="20"/>
          <w:color w:val="auto"/>
        </w:rPr>
      </w:pPr>
    </w:p>
    <w:p>
      <w:pPr>
        <w:jc w:val="both"/>
        <w:ind w:left="980" w:hanging="647"/>
        <w:spacing w:after="0" w:line="303" w:lineRule="auto"/>
        <w:tabs>
          <w:tab w:leader="none" w:pos="960" w:val="left"/>
        </w:tabs>
        <w:rPr>
          <w:sz w:val="20"/>
          <w:szCs w:val="20"/>
          <w:color w:val="auto"/>
        </w:rPr>
      </w:pPr>
      <w:r>
        <w:rPr>
          <w:rFonts w:ascii="Arial" w:cs="Arial" w:eastAsia="Arial" w:hAnsi="Arial"/>
          <w:sz w:val="22"/>
          <w:szCs w:val="22"/>
          <w:color w:val="010000"/>
        </w:rPr>
        <w:t>4.2</w:t>
      </w:r>
      <w:r>
        <w:rPr>
          <w:sz w:val="20"/>
          <w:szCs w:val="20"/>
          <w:color w:val="auto"/>
        </w:rPr>
        <w:tab/>
      </w:r>
      <w:r>
        <w:rPr>
          <w:rFonts w:ascii="Arial" w:cs="Arial" w:eastAsia="Arial" w:hAnsi="Arial"/>
          <w:sz w:val="19"/>
          <w:szCs w:val="19"/>
          <w:color w:val="auto"/>
        </w:rPr>
        <w:t>Responsibilities: The JSC shall be responsible for: (i) overseeing, managing, and providing strategic direction to the collaboration; (ii) reviewing and monitoring rite activities and progress of Working Croups established under this Agreement; (iii) overseeing the integration and coordination of the Services, and Deliverables and associated legal matters; (iv) reviewing and monitoring the strategies and plans for Services, and Deliverables and overseeing and managing the implementation of such plans; (v) overseeing and managing changes to the budgets, Long Term Forecast, Rolling Forecast, Capacity Commitment, capital expenditures, and Price; (vii) ensuring quality, regulatory and compliance matters, including Device design and Product assembly change controls, are addressed as defined in the Quality Agreements; (viii) resolving disputes, disagreements, and deadlocks that are not resolved; (ix) determining whether the Services and the Deliverables should proceed in the event of a Material Adverse Event; and (x) undertaking or approving such other matters as arc specifically provided for the JSC under this Agreement.</w:t>
      </w:r>
    </w:p>
    <w:p>
      <w:pPr>
        <w:spacing w:after="0" w:line="159" w:lineRule="exact"/>
        <w:rPr>
          <w:sz w:val="20"/>
          <w:szCs w:val="20"/>
          <w:color w:val="auto"/>
        </w:rPr>
      </w:pPr>
    </w:p>
    <w:p>
      <w:pPr>
        <w:jc w:val="both"/>
        <w:ind w:left="980" w:hanging="647"/>
        <w:spacing w:after="0" w:line="327" w:lineRule="auto"/>
        <w:tabs>
          <w:tab w:leader="none" w:pos="960" w:val="left"/>
        </w:tabs>
        <w:rPr>
          <w:sz w:val="20"/>
          <w:szCs w:val="20"/>
          <w:color w:val="auto"/>
        </w:rPr>
      </w:pPr>
      <w:r>
        <w:rPr>
          <w:rFonts w:ascii="Arial" w:cs="Arial" w:eastAsia="Arial" w:hAnsi="Arial"/>
          <w:sz w:val="22"/>
          <w:szCs w:val="22"/>
          <w:color w:val="010000"/>
        </w:rPr>
        <w:t>4.3</w:t>
      </w:r>
      <w:r>
        <w:rPr>
          <w:sz w:val="20"/>
          <w:szCs w:val="20"/>
          <w:color w:val="auto"/>
        </w:rPr>
        <w:tab/>
      </w:r>
      <w:r>
        <w:rPr>
          <w:rFonts w:ascii="Arial" w:cs="Arial" w:eastAsia="Arial" w:hAnsi="Arial"/>
          <w:sz w:val="19"/>
          <w:szCs w:val="19"/>
          <w:color w:val="auto"/>
        </w:rPr>
        <w:t>Meetings of JSC: The JSC will meet [***] or as often as the Parties agree is reasonably necessary to accomplish its purpose, on a mutually agreeable date and at a mutually agreeable place. Additional representatives of SHL or Customer, or both, in addition to members of the JSC, may attend such meetings at the invitation of cither Party.</w:t>
      </w:r>
    </w:p>
    <w:p>
      <w:pPr>
        <w:spacing w:after="0" w:line="133" w:lineRule="exact"/>
        <w:rPr>
          <w:sz w:val="20"/>
          <w:szCs w:val="20"/>
          <w:color w:val="auto"/>
        </w:rPr>
      </w:pPr>
    </w:p>
    <w:p>
      <w:pPr>
        <w:jc w:val="both"/>
        <w:ind w:left="980" w:hanging="647"/>
        <w:spacing w:after="0" w:line="305" w:lineRule="auto"/>
        <w:tabs>
          <w:tab w:leader="none" w:pos="960" w:val="left"/>
        </w:tabs>
        <w:rPr>
          <w:sz w:val="20"/>
          <w:szCs w:val="20"/>
          <w:color w:val="auto"/>
        </w:rPr>
      </w:pPr>
      <w:r>
        <w:rPr>
          <w:rFonts w:ascii="Arial" w:cs="Arial" w:eastAsia="Arial" w:hAnsi="Arial"/>
          <w:sz w:val="22"/>
          <w:szCs w:val="22"/>
          <w:color w:val="010000"/>
        </w:rPr>
        <w:t>4.4</w:t>
      </w:r>
      <w:r>
        <w:rPr>
          <w:sz w:val="20"/>
          <w:szCs w:val="20"/>
          <w:color w:val="auto"/>
        </w:rPr>
        <w:tab/>
      </w:r>
      <w:r>
        <w:rPr>
          <w:rFonts w:ascii="Arial" w:cs="Arial" w:eastAsia="Arial" w:hAnsi="Arial"/>
          <w:sz w:val="19"/>
          <w:szCs w:val="19"/>
          <w:color w:val="auto"/>
        </w:rPr>
        <w:t>Decision Making of JSC: A minimum number of [***] JSC members, representing both Parties in an equal manner, are required for decision making purposes, unless otherwise agreed to by the Parties. Decisions of the JSC shall be made by the members present in person or by other means (e.g., teleconference) at any meeting, with each Party having [***] vote (regardless of the number of attendees of that Party) and at least [***] representative from each Party participating in such vote. In the event that the JSC is unable to reach consensus with respect to a particular matter, each JSC co-chairperson will appoint a representative to resolve the conflict within [***], and the proposed resolution will be presented to the JSC. In the event a dispute cannot be resolved by the JSC, then the matter will be resolved in accordance with Article 22. The minutes will be circulated and agreed upon by the Parties.</w:t>
      </w:r>
    </w:p>
    <w:p>
      <w:pPr>
        <w:spacing w:after="0" w:line="156" w:lineRule="exact"/>
        <w:rPr>
          <w:sz w:val="20"/>
          <w:szCs w:val="20"/>
          <w:color w:val="auto"/>
        </w:rPr>
      </w:pPr>
    </w:p>
    <w:p>
      <w:pPr>
        <w:jc w:val="both"/>
        <w:ind w:left="980" w:hanging="647"/>
        <w:spacing w:after="0" w:line="297" w:lineRule="auto"/>
        <w:tabs>
          <w:tab w:leader="none" w:pos="960" w:val="left"/>
        </w:tabs>
        <w:rPr>
          <w:sz w:val="20"/>
          <w:szCs w:val="20"/>
          <w:color w:val="auto"/>
        </w:rPr>
      </w:pPr>
      <w:r>
        <w:rPr>
          <w:rFonts w:ascii="Arial" w:cs="Arial" w:eastAsia="Arial" w:hAnsi="Arial"/>
          <w:sz w:val="22"/>
          <w:szCs w:val="22"/>
          <w:color w:val="010000"/>
        </w:rPr>
        <w:t>4.5</w:t>
      </w:r>
      <w:r>
        <w:rPr>
          <w:sz w:val="20"/>
          <w:szCs w:val="20"/>
          <w:color w:val="auto"/>
        </w:rPr>
        <w:tab/>
      </w:r>
      <w:r>
        <w:rPr>
          <w:rFonts w:ascii="Arial" w:cs="Arial" w:eastAsia="Arial" w:hAnsi="Arial"/>
          <w:sz w:val="19"/>
          <w:szCs w:val="19"/>
          <w:color w:val="auto"/>
        </w:rPr>
        <w:t>Working Groups: The JSC may designate working groups to address specific projects, planning or issues arising under the Agreement (“Working Groups”) regarding Services or Deliverables as required. Working Groups may be focused on specific areas, including: (i) quality, compliance and regulatory affairs, (ii) Device and Product design, tooling, equipment and assembly processes, (iii) operations and facilities, (iv) procurement, forecasting and capacity planning,</w:t>
      </w:r>
    </w:p>
    <w:p>
      <w:pPr>
        <w:spacing w:after="0" w:line="3" w:lineRule="exact"/>
        <w:rPr>
          <w:sz w:val="20"/>
          <w:szCs w:val="20"/>
          <w:color w:val="auto"/>
        </w:rPr>
      </w:pPr>
    </w:p>
    <w:p>
      <w:pPr>
        <w:ind w:left="980"/>
        <w:spacing w:after="0" w:line="272" w:lineRule="auto"/>
        <w:tabs>
          <w:tab w:leader="none" w:pos="13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product development, (vi) project management and support, or (vii) any additional area deemed necessary by the JSC.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6" w:right="239" w:bottom="1440" w:gutter="0" w:footer="0" w:header="0"/>
        </w:sectPr>
      </w:pPr>
    </w:p>
    <w:bookmarkStart w:id="73" w:name="page74"/>
    <w:bookmarkEnd w:id="73"/>
    <w:p>
      <w:pPr>
        <w:ind w:left="220" w:right="220" w:firstLine="279"/>
        <w:spacing w:after="0" w:line="281" w:lineRule="auto"/>
        <w:tabs>
          <w:tab w:leader="none" w:pos="973"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Working Groups will meet as agreed by die Parties and will be responsible and report to the JSC.</w:t>
      </w:r>
    </w:p>
    <w:p>
      <w:pPr>
        <w:spacing w:after="0" w:line="227" w:lineRule="exact"/>
        <w:rPr>
          <w:sz w:val="20"/>
          <w:szCs w:val="20"/>
          <w:color w:val="auto"/>
        </w:rPr>
      </w:pPr>
    </w:p>
    <w:p>
      <w:pPr>
        <w:ind w:left="340" w:right="7240" w:hanging="332"/>
        <w:spacing w:after="0" w:line="464" w:lineRule="auto"/>
        <w:tabs>
          <w:tab w:leader="none" w:pos="340" w:val="left"/>
        </w:tabs>
        <w:numPr>
          <w:ilvl w:val="0"/>
          <w:numId w:val="53"/>
        </w:numPr>
        <w:rPr>
          <w:rFonts w:ascii="Arial" w:cs="Arial" w:eastAsia="Arial" w:hAnsi="Arial"/>
          <w:sz w:val="22"/>
          <w:szCs w:val="22"/>
          <w:b w:val="1"/>
          <w:bCs w:val="1"/>
          <w:color w:val="010000"/>
        </w:rPr>
      </w:pPr>
      <w:r>
        <w:rPr>
          <w:rFonts w:ascii="Arial" w:cs="Arial" w:eastAsia="Arial" w:hAnsi="Arial"/>
          <w:sz w:val="22"/>
          <w:szCs w:val="22"/>
          <w:b w:val="1"/>
          <w:bCs w:val="1"/>
          <w:color w:val="auto"/>
        </w:rPr>
        <w:t xml:space="preserve">FORECASTS / ORDERS / INVENTORY </w:t>
      </w:r>
      <w:r>
        <w:rPr>
          <w:rFonts w:ascii="Arial" w:cs="Arial" w:eastAsia="Arial" w:hAnsi="Arial"/>
          <w:sz w:val="22"/>
          <w:szCs w:val="22"/>
          <w:color w:val="010000"/>
        </w:rPr>
        <w:t xml:space="preserve">5.1 </w:t>
      </w:r>
      <w:r>
        <w:rPr>
          <w:rFonts w:ascii="Arial" w:cs="Arial" w:eastAsia="Arial" w:hAnsi="Arial"/>
          <w:sz w:val="22"/>
          <w:szCs w:val="22"/>
          <w:color w:val="000000"/>
        </w:rPr>
        <w:t>Forecasts</w:t>
      </w:r>
    </w:p>
    <w:p>
      <w:pPr>
        <w:jc w:val="both"/>
        <w:ind w:left="1300" w:right="20" w:hanging="647"/>
        <w:spacing w:after="0" w:line="266" w:lineRule="auto"/>
        <w:tabs>
          <w:tab w:leader="none" w:pos="1280" w:val="left"/>
        </w:tabs>
        <w:rPr>
          <w:sz w:val="20"/>
          <w:szCs w:val="20"/>
          <w:color w:val="auto"/>
        </w:rPr>
      </w:pPr>
      <w:r>
        <w:rPr>
          <w:rFonts w:ascii="Arial" w:cs="Arial" w:eastAsia="Arial" w:hAnsi="Arial"/>
          <w:sz w:val="22"/>
          <w:szCs w:val="22"/>
          <w:color w:val="010000"/>
        </w:rPr>
        <w:t>5.1.1</w:t>
      </w:r>
      <w:r>
        <w:rPr>
          <w:rFonts w:ascii="Arial" w:cs="Arial" w:eastAsia="Arial" w:hAnsi="Arial"/>
          <w:sz w:val="22"/>
          <w:szCs w:val="22"/>
          <w:color w:val="auto"/>
        </w:rPr>
        <w:tab/>
        <w:t>Before the end of January of each calendar year, Customer shall provide SHL with a written, non-binding, long range forecast for the next [***] of Customer’s anticipated requirements (“Long Range Forecast”) for the Services as further described in this Agreement.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5.1.2</w:t>
      </w:r>
      <w:r>
        <w:rPr>
          <w:sz w:val="20"/>
          <w:szCs w:val="20"/>
          <w:color w:val="auto"/>
        </w:rPr>
        <w:tab/>
      </w:r>
      <w:r>
        <w:rPr>
          <w:rFonts w:ascii="Arial" w:cs="Arial" w:eastAsia="Arial" w:hAnsi="Arial"/>
          <w:sz w:val="19"/>
          <w:szCs w:val="19"/>
          <w:color w:val="auto"/>
        </w:rPr>
        <w:t>Customer shall provide SHL at the beginning of each month with an [***] rolling forecast of its requirements for die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Product (the “Rolling Forecast”):</w:t>
      </w:r>
    </w:p>
    <w:p>
      <w:pPr>
        <w:spacing w:after="0" w:line="229" w:lineRule="exact"/>
        <w:rPr>
          <w:sz w:val="20"/>
          <w:szCs w:val="20"/>
          <w:color w:val="auto"/>
        </w:rPr>
      </w:pPr>
    </w:p>
    <w:p>
      <w:pPr>
        <w:jc w:val="both"/>
        <w:ind w:left="1800" w:hanging="499"/>
        <w:spacing w:after="0" w:line="276" w:lineRule="auto"/>
        <w:rPr>
          <w:sz w:val="20"/>
          <w:szCs w:val="20"/>
          <w:color w:val="auto"/>
        </w:rPr>
      </w:pPr>
      <w:r>
        <w:rPr>
          <w:rFonts w:ascii="Arial" w:cs="Arial" w:eastAsia="Arial" w:hAnsi="Arial"/>
          <w:sz w:val="22"/>
          <w:szCs w:val="22"/>
          <w:color w:val="010000"/>
        </w:rPr>
        <w:t>a)</w:t>
      </w:r>
      <w:r>
        <w:rPr>
          <w:rFonts w:ascii="Arial" w:cs="Arial" w:eastAsia="Arial" w:hAnsi="Arial"/>
          <w:sz w:val="22"/>
          <w:szCs w:val="22"/>
          <w:color w:val="000000"/>
        </w:rPr>
        <w:t>The [***] of such Rolling Forecast shall constitute a firm and binding order period, subject to the terms of Section</w:t>
      </w:r>
      <w:r>
        <w:rPr>
          <w:rFonts w:ascii="Arial" w:cs="Arial" w:eastAsia="Arial" w:hAnsi="Arial"/>
          <w:sz w:val="22"/>
          <w:szCs w:val="22"/>
          <w:color w:val="010000"/>
        </w:rPr>
        <w:t xml:space="preserve"> </w:t>
      </w:r>
      <w:r>
        <w:rPr>
          <w:rFonts w:ascii="Arial" w:cs="Arial" w:eastAsia="Arial" w:hAnsi="Arial"/>
          <w:sz w:val="22"/>
          <w:szCs w:val="22"/>
          <w:color w:val="000000"/>
        </w:rPr>
        <w:t>5.1.4 and 5.1.5.</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2"/>
          <w:szCs w:val="22"/>
          <w:color w:val="010000"/>
        </w:rPr>
        <w:t>b)</w:t>
      </w:r>
      <w:r>
        <w:rPr>
          <w:rFonts w:ascii="Arial" w:cs="Arial" w:eastAsia="Arial" w:hAnsi="Arial"/>
          <w:sz w:val="22"/>
          <w:szCs w:val="22"/>
          <w:color w:val="000000"/>
        </w:rPr>
        <w:t>Months [***] of the Rolling Forecast shall be non-binding.</w:t>
      </w:r>
    </w:p>
    <w:p>
      <w:pPr>
        <w:spacing w:after="0" w:line="233" w:lineRule="exact"/>
        <w:rPr>
          <w:sz w:val="20"/>
          <w:szCs w:val="20"/>
          <w:color w:val="auto"/>
        </w:rPr>
      </w:pPr>
    </w:p>
    <w:p>
      <w:pPr>
        <w:jc w:val="both"/>
        <w:ind w:left="1300"/>
        <w:spacing w:after="0" w:line="284" w:lineRule="auto"/>
        <w:rPr>
          <w:sz w:val="20"/>
          <w:szCs w:val="20"/>
          <w:color w:val="auto"/>
        </w:rPr>
      </w:pPr>
      <w:r>
        <w:rPr>
          <w:rFonts w:ascii="Arial" w:cs="Arial" w:eastAsia="Arial" w:hAnsi="Arial"/>
          <w:sz w:val="21"/>
          <w:szCs w:val="21"/>
          <w:color w:val="auto"/>
        </w:rPr>
        <w:t>The Rolling Forecast shall be aligned with Customer’s production plan for Primary Packaging and quantities shall be in multiples of normal Primary Packaging batch quantities as listed in Appendix A, and subject to Capacity Commitments and forecast variances as described in Sections 5.1.5, 5.1.6, 5.1.7, and Appendix A.</w:t>
      </w:r>
    </w:p>
    <w:p>
      <w:pPr>
        <w:spacing w:after="0" w:line="169"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22"/>
          <w:szCs w:val="22"/>
          <w:color w:val="010000"/>
        </w:rPr>
        <w:t>5.1.3</w:t>
      </w:r>
      <w:r>
        <w:rPr>
          <w:rFonts w:ascii="Arial" w:cs="Arial" w:eastAsia="Arial" w:hAnsi="Arial"/>
          <w:sz w:val="22"/>
          <w:szCs w:val="22"/>
          <w:color w:val="auto"/>
        </w:rPr>
        <w:tab/>
        <w:t>Each Rolling Forecast shall be accompanied by new Purchase Orders, one Purchase Order for each planned batch of Primary Packaging, as further defined under Section 5.2.</w:t>
      </w:r>
    </w:p>
    <w:p>
      <w:pPr>
        <w:spacing w:after="0" w:line="174" w:lineRule="exact"/>
        <w:rPr>
          <w:sz w:val="20"/>
          <w:szCs w:val="20"/>
          <w:color w:val="auto"/>
        </w:rPr>
      </w:pPr>
    </w:p>
    <w:p>
      <w:pPr>
        <w:jc w:val="both"/>
        <w:ind w:left="1300" w:hanging="647"/>
        <w:spacing w:after="0" w:line="317" w:lineRule="auto"/>
        <w:tabs>
          <w:tab w:leader="none" w:pos="1280" w:val="left"/>
        </w:tabs>
        <w:rPr>
          <w:sz w:val="20"/>
          <w:szCs w:val="20"/>
          <w:color w:val="auto"/>
        </w:rPr>
      </w:pPr>
      <w:r>
        <w:rPr>
          <w:rFonts w:ascii="Arial" w:cs="Arial" w:eastAsia="Arial" w:hAnsi="Arial"/>
          <w:sz w:val="22"/>
          <w:szCs w:val="22"/>
          <w:color w:val="010000"/>
        </w:rPr>
        <w:t>5.1.4</w:t>
      </w:r>
      <w:r>
        <w:rPr>
          <w:sz w:val="20"/>
          <w:szCs w:val="20"/>
          <w:color w:val="auto"/>
        </w:rPr>
        <w:tab/>
      </w:r>
      <w:r>
        <w:rPr>
          <w:rFonts w:ascii="Arial" w:cs="Arial" w:eastAsia="Arial" w:hAnsi="Arial"/>
          <w:sz w:val="19"/>
          <w:szCs w:val="19"/>
          <w:color w:val="auto"/>
        </w:rPr>
        <w:t>To the extent Customer tails to provide a Long Term Forecast or Rolling Forecast as required under this Agreement, the last applicable Long Term Forecast or Rolling Forecast previously provided by Customer shall be deemed to be the latest and current Long term Forecast or Rolling Forecast provided by Customer. SHL has the right to adjust the level of capacity based on changes to the Long Term Forecast or Rolling Forecast.</w:t>
      </w:r>
    </w:p>
    <w:p>
      <w:pPr>
        <w:spacing w:after="0" w:line="142" w:lineRule="exact"/>
        <w:rPr>
          <w:sz w:val="20"/>
          <w:szCs w:val="20"/>
          <w:color w:val="auto"/>
        </w:rPr>
      </w:pPr>
    </w:p>
    <w:p>
      <w:pPr>
        <w:jc w:val="both"/>
        <w:ind w:left="1300" w:hanging="647"/>
        <w:spacing w:after="0" w:line="275" w:lineRule="auto"/>
        <w:tabs>
          <w:tab w:leader="none" w:pos="1280" w:val="left"/>
        </w:tabs>
        <w:rPr>
          <w:sz w:val="20"/>
          <w:szCs w:val="20"/>
          <w:color w:val="auto"/>
        </w:rPr>
      </w:pPr>
      <w:r>
        <w:rPr>
          <w:rFonts w:ascii="Arial" w:cs="Arial" w:eastAsia="Arial" w:hAnsi="Arial"/>
          <w:sz w:val="22"/>
          <w:szCs w:val="22"/>
          <w:color w:val="010000"/>
        </w:rPr>
        <w:t>5.1.5</w:t>
      </w:r>
      <w:r>
        <w:rPr>
          <w:sz w:val="20"/>
          <w:szCs w:val="20"/>
          <w:color w:val="auto"/>
        </w:rPr>
        <w:tab/>
      </w:r>
      <w:r>
        <w:rPr>
          <w:rFonts w:ascii="Arial" w:cs="Arial" w:eastAsia="Arial" w:hAnsi="Arial"/>
          <w:sz w:val="21"/>
          <w:szCs w:val="21"/>
          <w:color w:val="auto"/>
        </w:rPr>
        <w:t>Customer shall align production plans for the Primary Packaging, the Rolling Forecast and open Purchase Orders and will provide SHL with commercially reasonable advanced notice of any significant batch yield variance or delay that could impact the Rolling Forecast or open Purchase Orders, and in no event longer than [***] after such variance or delay is known to Customer. The first [***] of any Rolling Forecast represent commitments to purchase the amounts provided in the Rolling Forecast for those [***]. Customer shall not incur a penalty for any batch yield variance [***] the batch multiples agreed to in Appendix A. For any batch</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6" w:right="239" w:bottom="1440" w:gutter="0" w:footer="0" w:header="0"/>
        </w:sectPr>
      </w:pPr>
    </w:p>
    <w:bookmarkStart w:id="74" w:name="page75"/>
    <w:bookmarkEnd w:id="74"/>
    <w:p>
      <w:pPr>
        <w:ind w:left="220" w:right="220" w:firstLine="279"/>
        <w:spacing w:after="0" w:line="281" w:lineRule="auto"/>
        <w:tabs>
          <w:tab w:leader="none" w:pos="973"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1300"/>
        <w:spacing w:after="0" w:line="266" w:lineRule="auto"/>
        <w:rPr>
          <w:sz w:val="20"/>
          <w:szCs w:val="20"/>
          <w:color w:val="auto"/>
        </w:rPr>
      </w:pPr>
      <w:r>
        <w:rPr>
          <w:rFonts w:ascii="Arial" w:cs="Arial" w:eastAsia="Arial" w:hAnsi="Arial"/>
          <w:sz w:val="22"/>
          <w:szCs w:val="22"/>
          <w:color w:val="auto"/>
        </w:rPr>
        <w:t>yield variance [***] below the batch multiples agreed to in Appendix A, Customer shall incur a [***] delivered under that Purchase Order. This shall be in addition to any other penalties or costs applied pursuant to this Agreement.</w:t>
      </w:r>
    </w:p>
    <w:p>
      <w:pPr>
        <w:spacing w:after="0" w:line="185" w:lineRule="exact"/>
        <w:rPr>
          <w:sz w:val="20"/>
          <w:szCs w:val="20"/>
          <w:color w:val="auto"/>
        </w:rPr>
      </w:pPr>
    </w:p>
    <w:p>
      <w:pPr>
        <w:jc w:val="both"/>
        <w:ind w:left="1300" w:right="20" w:hanging="647"/>
        <w:spacing w:after="0" w:line="284" w:lineRule="auto"/>
        <w:tabs>
          <w:tab w:leader="none" w:pos="1280" w:val="left"/>
        </w:tabs>
        <w:rPr>
          <w:sz w:val="20"/>
          <w:szCs w:val="20"/>
          <w:color w:val="auto"/>
        </w:rPr>
      </w:pPr>
      <w:r>
        <w:rPr>
          <w:rFonts w:ascii="Arial" w:cs="Arial" w:eastAsia="Arial" w:hAnsi="Arial"/>
          <w:sz w:val="22"/>
          <w:szCs w:val="22"/>
          <w:color w:val="010000"/>
        </w:rPr>
        <w:t>5.1.6</w:t>
      </w:r>
      <w:r>
        <w:rPr>
          <w:sz w:val="20"/>
          <w:szCs w:val="20"/>
          <w:color w:val="auto"/>
        </w:rPr>
        <w:tab/>
      </w:r>
      <w:r>
        <w:rPr>
          <w:rFonts w:ascii="Arial" w:cs="Arial" w:eastAsia="Arial" w:hAnsi="Arial"/>
          <w:sz w:val="21"/>
          <w:szCs w:val="21"/>
          <w:color w:val="auto"/>
        </w:rPr>
        <w:t>At the beginning of each year, the JSC shall review SHL’s monthly and annual maximum capacity available for Product (“Capacity Commitment”), as specified in Appendix A. Any conflicts between the Long Term Forecast and the Capacity Commitment shall be reviewed and resolved by the JSC as required.</w:t>
      </w:r>
    </w:p>
    <w:p>
      <w:pPr>
        <w:spacing w:after="0" w:line="169"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5.2</w:t>
      </w:r>
      <w:r>
        <w:rPr>
          <w:sz w:val="20"/>
          <w:szCs w:val="20"/>
          <w:color w:val="auto"/>
        </w:rPr>
        <w:tab/>
      </w:r>
      <w:r>
        <w:rPr>
          <w:rFonts w:ascii="Arial" w:cs="Arial" w:eastAsia="Arial" w:hAnsi="Arial"/>
          <w:sz w:val="18"/>
          <w:szCs w:val="18"/>
          <w:color w:val="auto"/>
        </w:rPr>
        <w:t>Purchase Orders</w:t>
      </w:r>
    </w:p>
    <w:p>
      <w:pPr>
        <w:spacing w:after="0" w:line="23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22"/>
          <w:szCs w:val="22"/>
          <w:color w:val="010000"/>
        </w:rPr>
        <w:t>5.2.1</w:t>
      </w:r>
      <w:r>
        <w:rPr>
          <w:rFonts w:ascii="Arial" w:cs="Arial" w:eastAsia="Arial" w:hAnsi="Arial"/>
          <w:sz w:val="22"/>
          <w:szCs w:val="22"/>
          <w:color w:val="auto"/>
        </w:rPr>
        <w:tab/>
        <w:t>Customer shall place Purchase Orders based on (i) planned Primary Packaging production plans, one Purchase Order per planned batch, and (ii) expected Primary Packaging batch sizes as listed in Exhibit A, and (iii) the binding portion of the Rolling Forecast (each a “Purchase Order”). SHL will make commercially reasonable efforts to confirm Purchase Orders within [***] including confirmation of die quantity, Price, and other relevant information, and lo deliver the Products within the timeframe specified on the confirmation of receipt of the Purchase Orders. In any event, Customer must provide Purchase Orders to SHL at least [***] before the desired delivery date for the Product.</w:t>
      </w:r>
    </w:p>
    <w:p>
      <w:pPr>
        <w:spacing w:after="0" w:line="196"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22"/>
          <w:szCs w:val="22"/>
          <w:color w:val="010000"/>
        </w:rPr>
        <w:t>5.2.2</w:t>
      </w:r>
      <w:r>
        <w:rPr>
          <w:rFonts w:ascii="Arial" w:cs="Arial" w:eastAsia="Arial" w:hAnsi="Arial"/>
          <w:sz w:val="22"/>
          <w:szCs w:val="22"/>
          <w:color w:val="auto"/>
        </w:rPr>
        <w:tab/>
        <w:t>Absent of Customer’s receipt of written notice to me contrary from SHL within [***] issuance of die Purchase Order, each Purchase Order shall be deemed accepted by SHL.</w:t>
      </w:r>
    </w:p>
    <w:p>
      <w:pPr>
        <w:spacing w:after="0" w:line="174" w:lineRule="exact"/>
        <w:rPr>
          <w:sz w:val="20"/>
          <w:szCs w:val="20"/>
          <w:color w:val="auto"/>
        </w:rPr>
      </w:pPr>
    </w:p>
    <w:p>
      <w:pPr>
        <w:jc w:val="both"/>
        <w:ind w:left="1300" w:hanging="647"/>
        <w:spacing w:after="0" w:line="358" w:lineRule="auto"/>
        <w:tabs>
          <w:tab w:leader="none" w:pos="1280" w:val="left"/>
        </w:tabs>
        <w:rPr>
          <w:sz w:val="20"/>
          <w:szCs w:val="20"/>
          <w:color w:val="auto"/>
        </w:rPr>
      </w:pPr>
      <w:r>
        <w:rPr>
          <w:rFonts w:ascii="Arial" w:cs="Arial" w:eastAsia="Arial" w:hAnsi="Arial"/>
          <w:sz w:val="22"/>
          <w:szCs w:val="22"/>
          <w:color w:val="010000"/>
        </w:rPr>
        <w:t>5.2.3</w:t>
      </w:r>
      <w:r>
        <w:rPr>
          <w:sz w:val="20"/>
          <w:szCs w:val="20"/>
          <w:color w:val="auto"/>
        </w:rPr>
        <w:tab/>
      </w:r>
      <w:r>
        <w:rPr>
          <w:rFonts w:ascii="Arial" w:cs="Arial" w:eastAsia="Arial" w:hAnsi="Arial"/>
          <w:sz w:val="19"/>
          <w:szCs w:val="19"/>
          <w:color w:val="auto"/>
        </w:rPr>
        <w:t>In the event SHL rejects a Purchase Order, SHI. and Customer shall promptly discuss such rejection in good faith with a view to agreeing upon an amended Purchase Order reasonably acceptable to Customer and SHL.</w:t>
      </w:r>
    </w:p>
    <w:p>
      <w:pPr>
        <w:spacing w:after="0" w:line="104" w:lineRule="exact"/>
        <w:rPr>
          <w:sz w:val="20"/>
          <w:szCs w:val="20"/>
          <w:color w:val="auto"/>
        </w:rPr>
      </w:pPr>
    </w:p>
    <w:p>
      <w:pPr>
        <w:jc w:val="both"/>
        <w:ind w:left="1300" w:right="20" w:hanging="647"/>
        <w:spacing w:after="0" w:line="297" w:lineRule="auto"/>
        <w:tabs>
          <w:tab w:leader="none" w:pos="1280" w:val="left"/>
        </w:tabs>
        <w:rPr>
          <w:sz w:val="20"/>
          <w:szCs w:val="20"/>
          <w:color w:val="auto"/>
        </w:rPr>
      </w:pPr>
      <w:r>
        <w:rPr>
          <w:rFonts w:ascii="Arial" w:cs="Arial" w:eastAsia="Arial" w:hAnsi="Arial"/>
          <w:sz w:val="22"/>
          <w:szCs w:val="22"/>
          <w:color w:val="010000"/>
        </w:rPr>
        <w:t>5.2.4</w:t>
      </w:r>
      <w:r>
        <w:rPr>
          <w:sz w:val="20"/>
          <w:szCs w:val="20"/>
          <w:color w:val="auto"/>
        </w:rPr>
        <w:tab/>
      </w:r>
      <w:r>
        <w:rPr>
          <w:rFonts w:ascii="Arial" w:cs="Arial" w:eastAsia="Arial" w:hAnsi="Arial"/>
          <w:sz w:val="19"/>
          <w:szCs w:val="19"/>
          <w:color w:val="auto"/>
        </w:rPr>
        <w:t>Customer shall align production plans for the Primary Packaging, the Rolling Forecast and open Purchase Orders such that Primary Packaging batch release and delivery to SHL shall occur at least [***] prior to the Purchase Order delivery date. If Customer delivers Primary Packaging less than [***] prior to the Purchase Order delivery date. Customer shall not be penalized except as noted herein. If Customer delivers a batch of Primary Packaging less than</w:t>
      </w:r>
    </w:p>
    <w:p>
      <w:pPr>
        <w:spacing w:after="0" w:line="3" w:lineRule="exact"/>
        <w:rPr>
          <w:sz w:val="20"/>
          <w:szCs w:val="20"/>
          <w:color w:val="auto"/>
        </w:rPr>
      </w:pPr>
    </w:p>
    <w:p>
      <w:pPr>
        <w:ind w:left="1900" w:hanging="595"/>
        <w:spacing w:after="0"/>
        <w:tabs>
          <w:tab w:leader="none" w:pos="1900" w:val="left"/>
        </w:tabs>
        <w:numPr>
          <w:ilvl w:val="0"/>
          <w:numId w:val="55"/>
        </w:numPr>
        <w:rPr>
          <w:rFonts w:ascii="Arial" w:cs="Arial" w:eastAsia="Arial" w:hAnsi="Arial"/>
          <w:sz w:val="21"/>
          <w:szCs w:val="21"/>
          <w:color w:val="auto"/>
        </w:rPr>
      </w:pPr>
      <w:r>
        <w:rPr>
          <w:rFonts w:ascii="Arial" w:cs="Arial" w:eastAsia="Arial" w:hAnsi="Arial"/>
          <w:sz w:val="21"/>
          <w:szCs w:val="21"/>
          <w:color w:val="auto"/>
        </w:rPr>
        <w:t>before the then current Purchase Order delivery date, Customer shall incur a rescheduling charge of</w:t>
      </w:r>
    </w:p>
    <w:p>
      <w:pPr>
        <w:spacing w:after="0" w:line="28" w:lineRule="exact"/>
        <w:rPr>
          <w:rFonts w:ascii="Arial" w:cs="Arial" w:eastAsia="Arial" w:hAnsi="Arial"/>
          <w:sz w:val="21"/>
          <w:szCs w:val="21"/>
          <w:color w:val="auto"/>
        </w:rPr>
      </w:pPr>
    </w:p>
    <w:p>
      <w:pPr>
        <w:jc w:val="both"/>
        <w:ind w:left="1300" w:firstLine="5"/>
        <w:spacing w:after="0" w:line="259" w:lineRule="auto"/>
        <w:tabs>
          <w:tab w:leader="none" w:pos="1831" w:val="left"/>
        </w:tabs>
        <w:numPr>
          <w:ilvl w:val="0"/>
          <w:numId w:val="55"/>
        </w:numPr>
        <w:rPr>
          <w:rFonts w:ascii="Arial" w:cs="Arial" w:eastAsia="Arial" w:hAnsi="Arial"/>
          <w:sz w:val="22"/>
          <w:szCs w:val="22"/>
          <w:color w:val="auto"/>
        </w:rPr>
      </w:pPr>
      <w:r>
        <w:rPr>
          <w:rFonts w:ascii="Arial" w:cs="Arial" w:eastAsia="Arial" w:hAnsi="Arial"/>
          <w:sz w:val="22"/>
          <w:szCs w:val="22"/>
          <w:color w:val="auto"/>
        </w:rPr>
        <w:t>applied to the then current Price for quantities delivered under that Purchase Order which shall be in addition to any other penalties or costs applied pursuant to this Agreement. For deliveries of Primary Packaging made less than [***] before the then current Purchase Order delivery date, SHL shall use commercially reasonable efforts to reschedule Purchase Order delivery within [***] of Customer’s actual delivery of the Primary Packaging. For the avoidance of doubt, SHL shah have no late delivery liability for shipping delays if Customer delivers Primary Packaging less than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6" w:right="239" w:bottom="1440" w:gutter="0" w:footer="0" w:header="0"/>
        </w:sectPr>
      </w:pPr>
    </w:p>
    <w:bookmarkStart w:id="75" w:name="page76"/>
    <w:bookmarkEnd w:id="75"/>
    <w:p>
      <w:pPr>
        <w:ind w:left="220" w:right="220" w:firstLine="279"/>
        <w:spacing w:after="0" w:line="281" w:lineRule="auto"/>
        <w:tabs>
          <w:tab w:leader="none" w:pos="973"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prior to a Purchase Order delivery date and any such delays shall not constitute a breach of this Agreement by SHL.</w:t>
      </w:r>
    </w:p>
    <w:p>
      <w:pPr>
        <w:spacing w:after="0" w:line="268" w:lineRule="exact"/>
        <w:rPr>
          <w:sz w:val="20"/>
          <w:szCs w:val="20"/>
          <w:color w:val="auto"/>
        </w:rPr>
      </w:pPr>
    </w:p>
    <w:p>
      <w:pPr>
        <w:jc w:val="both"/>
        <w:ind w:left="980" w:right="20" w:hanging="647"/>
        <w:spacing w:after="0" w:line="266" w:lineRule="auto"/>
        <w:tabs>
          <w:tab w:leader="none" w:pos="960" w:val="left"/>
        </w:tabs>
        <w:rPr>
          <w:sz w:val="20"/>
          <w:szCs w:val="20"/>
          <w:color w:val="auto"/>
        </w:rPr>
      </w:pPr>
      <w:r>
        <w:rPr>
          <w:rFonts w:ascii="Arial" w:cs="Arial" w:eastAsia="Arial" w:hAnsi="Arial"/>
          <w:sz w:val="22"/>
          <w:szCs w:val="22"/>
          <w:color w:val="010000"/>
        </w:rPr>
        <w:t>5.3</w:t>
      </w:r>
      <w:r>
        <w:rPr>
          <w:sz w:val="20"/>
          <w:szCs w:val="20"/>
          <w:color w:val="auto"/>
        </w:rPr>
        <w:tab/>
      </w:r>
      <w:r>
        <w:rPr>
          <w:rFonts w:ascii="Arial" w:cs="Arial" w:eastAsia="Arial" w:hAnsi="Arial"/>
          <w:sz w:val="22"/>
          <w:szCs w:val="22"/>
          <w:color w:val="auto"/>
        </w:rPr>
        <w:t>Within [***] after the end of each month, SHL shall provide Customer with an inventory report showing quantities and batch numbers for Devices, Primary Packaging and Product at the Facility in Deerfield Beach, Florida, in a format Parries have agreed upon.</w:t>
      </w:r>
    </w:p>
    <w:p>
      <w:pPr>
        <w:spacing w:after="0" w:line="185"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5.4</w:t>
      </w:r>
      <w:r>
        <w:rPr>
          <w:sz w:val="20"/>
          <w:szCs w:val="20"/>
          <w:color w:val="auto"/>
        </w:rPr>
        <w:tab/>
      </w:r>
      <w:r>
        <w:rPr>
          <w:rFonts w:ascii="Arial" w:cs="Arial" w:eastAsia="Arial" w:hAnsi="Arial"/>
          <w:sz w:val="22"/>
          <w:szCs w:val="22"/>
          <w:color w:val="auto"/>
        </w:rPr>
        <w:t>Customer shall modify open Purchase Orders in accordance with adjustments to the Rolling Forecast as described in Sections 5.1.5, subject to provisions therein.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2"/>
          <w:szCs w:val="22"/>
          <w:b w:val="1"/>
          <w:bCs w:val="1"/>
          <w:color w:val="010000"/>
        </w:rPr>
      </w:pPr>
      <w:r>
        <w:rPr>
          <w:rFonts w:ascii="Arial" w:cs="Arial" w:eastAsia="Arial" w:hAnsi="Arial"/>
          <w:sz w:val="22"/>
          <w:szCs w:val="22"/>
          <w:b w:val="1"/>
          <w:bCs w:val="1"/>
          <w:color w:val="auto"/>
        </w:rPr>
        <w:t>DELIVERY</w:t>
      </w:r>
    </w:p>
    <w:p>
      <w:pPr>
        <w:spacing w:after="0" w:line="239" w:lineRule="exact"/>
        <w:rPr>
          <w:rFonts w:ascii="Arial" w:cs="Arial" w:eastAsia="Arial" w:hAnsi="Arial"/>
          <w:sz w:val="22"/>
          <w:szCs w:val="22"/>
          <w:b w:val="1"/>
          <w:bCs w:val="1"/>
          <w:color w:val="010000"/>
        </w:rPr>
      </w:pPr>
    </w:p>
    <w:p>
      <w:pPr>
        <w:ind w:left="980" w:hanging="648"/>
        <w:spacing w:after="0" w:line="306" w:lineRule="auto"/>
        <w:rPr>
          <w:rFonts w:ascii="Arial" w:cs="Arial" w:eastAsia="Arial" w:hAnsi="Arial"/>
          <w:sz w:val="22"/>
          <w:szCs w:val="22"/>
          <w:b w:val="1"/>
          <w:bCs w:val="1"/>
          <w:color w:val="010000"/>
        </w:rPr>
      </w:pPr>
      <w:r>
        <w:rPr>
          <w:rFonts w:ascii="Arial" w:cs="Arial" w:eastAsia="Arial" w:hAnsi="Arial"/>
          <w:sz w:val="19"/>
          <w:szCs w:val="19"/>
          <w:color w:val="010000"/>
        </w:rPr>
        <w:t xml:space="preserve">6.1 </w:t>
      </w:r>
      <w:r>
        <w:rPr>
          <w:rFonts w:ascii="Arial" w:cs="Arial" w:eastAsia="Arial" w:hAnsi="Arial"/>
          <w:sz w:val="19"/>
          <w:szCs w:val="19"/>
          <w:color w:val="000000"/>
        </w:rPr>
        <w:t>Title and risk of loss shall pass to Customer at time of delivery of Products, EXW Facility at Deerfield Beach, Florida</w:t>
      </w:r>
      <w:r>
        <w:rPr>
          <w:rFonts w:ascii="Arial" w:cs="Arial" w:eastAsia="Arial" w:hAnsi="Arial"/>
          <w:sz w:val="19"/>
          <w:szCs w:val="19"/>
          <w:color w:val="010000"/>
        </w:rPr>
        <w:t xml:space="preserve"> </w:t>
      </w:r>
      <w:r>
        <w:rPr>
          <w:rFonts w:ascii="Arial" w:cs="Arial" w:eastAsia="Arial" w:hAnsi="Arial"/>
          <w:sz w:val="19"/>
          <w:szCs w:val="19"/>
          <w:color w:val="000000"/>
        </w:rPr>
        <w:t>(Incoterms 2010). Customer shall be responsible for selecting the carrier to transport the Products from the Facility to Customer’s facilities or contractors. SHL shall cooperate with Customer and its selected carrier to arrange pick up for shipments as necessary to accommodate Customer’s Purchase Orders arid business needs. SHL will notify Customer at least [***] prior to the date when SHL intends to deliver the Products. SHL shall not release Product to the Customer arranged carrier without written confirmation from the Customer that the Product has been accepted for release and SHL is authorized to ship the Products, and such written confirmation from Customer shall not be unreasonably withheld.</w:t>
      </w:r>
    </w:p>
    <w:p>
      <w:pPr>
        <w:spacing w:after="0" w:line="156" w:lineRule="exact"/>
        <w:rPr>
          <w:rFonts w:ascii="Arial" w:cs="Arial" w:eastAsia="Arial" w:hAnsi="Arial"/>
          <w:sz w:val="22"/>
          <w:szCs w:val="22"/>
          <w:b w:val="1"/>
          <w:bCs w:val="1"/>
          <w:color w:val="010000"/>
        </w:rPr>
      </w:pPr>
    </w:p>
    <w:p>
      <w:pPr>
        <w:ind w:left="980" w:hanging="648"/>
        <w:spacing w:after="0" w:line="263" w:lineRule="auto"/>
        <w:rPr>
          <w:rFonts w:ascii="Arial" w:cs="Arial" w:eastAsia="Arial" w:hAnsi="Arial"/>
          <w:sz w:val="22"/>
          <w:szCs w:val="22"/>
          <w:b w:val="1"/>
          <w:bCs w:val="1"/>
          <w:color w:val="010000"/>
        </w:rPr>
      </w:pPr>
      <w:r>
        <w:rPr>
          <w:rFonts w:ascii="Arial" w:cs="Arial" w:eastAsia="Arial" w:hAnsi="Arial"/>
          <w:sz w:val="22"/>
          <w:szCs w:val="22"/>
          <w:color w:val="010000"/>
        </w:rPr>
        <w:t xml:space="preserve">6.2 </w:t>
      </w:r>
      <w:r>
        <w:rPr>
          <w:rFonts w:ascii="Arial" w:cs="Arial" w:eastAsia="Arial" w:hAnsi="Arial"/>
          <w:sz w:val="22"/>
          <w:szCs w:val="22"/>
          <w:color w:val="000000"/>
        </w:rPr>
        <w:t>SHL shall deliver Product to Customer in a form specified by the Quality’ Agreements, including certificates of</w:t>
      </w:r>
      <w:r>
        <w:rPr>
          <w:rFonts w:ascii="Arial" w:cs="Arial" w:eastAsia="Arial" w:hAnsi="Arial"/>
          <w:sz w:val="22"/>
          <w:szCs w:val="22"/>
          <w:color w:val="010000"/>
        </w:rPr>
        <w:t xml:space="preserve"> </w:t>
      </w:r>
      <w:r>
        <w:rPr>
          <w:rFonts w:ascii="Arial" w:cs="Arial" w:eastAsia="Arial" w:hAnsi="Arial"/>
          <w:sz w:val="22"/>
          <w:szCs w:val="22"/>
          <w:color w:val="000000"/>
        </w:rPr>
        <w:t>compliance for each batch of Product. In the event SIIL fails to meet the Purchase Order delivery date or has reason to believe it will fail to meet such delivery date, SHL shall provide Customer with prompt written notice of such failure, identifying in such notice the earliest available date to make up for such failure.</w:t>
      </w:r>
    </w:p>
    <w:p>
      <w:pPr>
        <w:spacing w:after="0" w:line="187" w:lineRule="exact"/>
        <w:rPr>
          <w:rFonts w:ascii="Arial" w:cs="Arial" w:eastAsia="Arial" w:hAnsi="Arial"/>
          <w:sz w:val="22"/>
          <w:szCs w:val="22"/>
          <w:b w:val="1"/>
          <w:bCs w:val="1"/>
          <w:color w:val="010000"/>
        </w:rPr>
      </w:pPr>
    </w:p>
    <w:p>
      <w:pPr>
        <w:ind w:left="980" w:hanging="648"/>
        <w:spacing w:after="0" w:line="261" w:lineRule="auto"/>
        <w:rPr>
          <w:rFonts w:ascii="Arial" w:cs="Arial" w:eastAsia="Arial" w:hAnsi="Arial"/>
          <w:sz w:val="22"/>
          <w:szCs w:val="22"/>
          <w:b w:val="1"/>
          <w:bCs w:val="1"/>
          <w:color w:val="010000"/>
        </w:rPr>
      </w:pPr>
      <w:r>
        <w:rPr>
          <w:rFonts w:ascii="Arial" w:cs="Arial" w:eastAsia="Arial" w:hAnsi="Arial"/>
          <w:sz w:val="22"/>
          <w:szCs w:val="22"/>
          <w:color w:val="010000"/>
        </w:rPr>
        <w:t xml:space="preserve">6.3 </w:t>
      </w:r>
      <w:r>
        <w:rPr>
          <w:rFonts w:ascii="Arial" w:cs="Arial" w:eastAsia="Arial" w:hAnsi="Arial"/>
          <w:sz w:val="22"/>
          <w:szCs w:val="22"/>
          <w:color w:val="000000"/>
        </w:rPr>
        <w:t>SHL is responsible for maintaining and operating the Facilities and ail equipment used to manufacture the Devices or</w:t>
      </w:r>
      <w:r>
        <w:rPr>
          <w:rFonts w:ascii="Arial" w:cs="Arial" w:eastAsia="Arial" w:hAnsi="Arial"/>
          <w:sz w:val="22"/>
          <w:szCs w:val="22"/>
          <w:color w:val="010000"/>
        </w:rPr>
        <w:t xml:space="preserve"> </w:t>
      </w:r>
      <w:r>
        <w:rPr>
          <w:rFonts w:ascii="Arial" w:cs="Arial" w:eastAsia="Arial" w:hAnsi="Arial"/>
          <w:sz w:val="22"/>
          <w:szCs w:val="22"/>
          <w:color w:val="000000"/>
        </w:rPr>
        <w:t>assemble the Products in an acceptable state of repair in accordance with applicable law and GMP. SHL is responsible for validating all such Facilities and equipment using SHL’s standard procedures. For the avoidance of doubt, SHL shall ensure SHL’s Affiliate, Scandinavian Health, complies with the provisions herein through SI IL’s supplier qualification and management program.</w:t>
      </w:r>
    </w:p>
    <w:p>
      <w:pPr>
        <w:spacing w:after="0" w:line="191" w:lineRule="exact"/>
        <w:rPr>
          <w:rFonts w:ascii="Arial" w:cs="Arial" w:eastAsia="Arial" w:hAnsi="Arial"/>
          <w:sz w:val="22"/>
          <w:szCs w:val="22"/>
          <w:b w:val="1"/>
          <w:bCs w:val="1"/>
          <w:color w:val="010000"/>
        </w:rPr>
      </w:pPr>
    </w:p>
    <w:p>
      <w:pPr>
        <w:ind w:left="980" w:hanging="648"/>
        <w:spacing w:after="0" w:line="261" w:lineRule="auto"/>
        <w:rPr>
          <w:rFonts w:ascii="Arial" w:cs="Arial" w:eastAsia="Arial" w:hAnsi="Arial"/>
          <w:sz w:val="22"/>
          <w:szCs w:val="22"/>
          <w:b w:val="1"/>
          <w:bCs w:val="1"/>
          <w:color w:val="010000"/>
        </w:rPr>
      </w:pPr>
      <w:r>
        <w:rPr>
          <w:rFonts w:ascii="Arial" w:cs="Arial" w:eastAsia="Arial" w:hAnsi="Arial"/>
          <w:sz w:val="22"/>
          <w:szCs w:val="22"/>
          <w:color w:val="010000"/>
        </w:rPr>
        <w:t xml:space="preserve">6.4 </w:t>
      </w:r>
      <w:r>
        <w:rPr>
          <w:rFonts w:ascii="Arial" w:cs="Arial" w:eastAsia="Arial" w:hAnsi="Arial"/>
          <w:sz w:val="22"/>
          <w:szCs w:val="22"/>
          <w:color w:val="000000"/>
        </w:rPr>
        <w:t>In order to perform the Services, certain Product-specific capital expenditures may be necessary in respect to equipment</w:t>
      </w:r>
      <w:r>
        <w:rPr>
          <w:rFonts w:ascii="Arial" w:cs="Arial" w:eastAsia="Arial" w:hAnsi="Arial"/>
          <w:sz w:val="22"/>
          <w:szCs w:val="22"/>
          <w:color w:val="010000"/>
        </w:rPr>
        <w:t xml:space="preserve"> </w:t>
      </w:r>
      <w:r>
        <w:rPr>
          <w:rFonts w:ascii="Arial" w:cs="Arial" w:eastAsia="Arial" w:hAnsi="Arial"/>
          <w:sz w:val="22"/>
          <w:szCs w:val="22"/>
          <w:color w:val="000000"/>
        </w:rPr>
        <w:t>or the Facilities. Any such Product-specific capital expenditures must be approved by Customer in writing in advance and shall be borne by Customer. The Parties will include additional terms and conditions in Appendix A or enter into a separate dedicated equipment purchase agreement which shall address which Party owns such Product-specific dedicated equipment cost sharing obligations,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6" w:right="239" w:bottom="1440" w:gutter="0" w:footer="0" w:header="0"/>
        </w:sectPr>
      </w:pPr>
    </w:p>
    <w:bookmarkStart w:id="76" w:name="page77"/>
    <w:bookmarkEnd w:id="76"/>
    <w:p>
      <w:pPr>
        <w:ind w:left="220" w:right="220" w:firstLine="279"/>
        <w:spacing w:after="0" w:line="281" w:lineRule="auto"/>
        <w:tabs>
          <w:tab w:leader="none" w:pos="973" w:val="left"/>
        </w:tabs>
        <w:numPr>
          <w:ilvl w:val="0"/>
          <w:numId w:val="58"/>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line="301" w:lineRule="auto"/>
        <w:rPr>
          <w:sz w:val="20"/>
          <w:szCs w:val="20"/>
          <w:color w:val="auto"/>
        </w:rPr>
      </w:pPr>
      <w:r>
        <w:rPr>
          <w:rFonts w:ascii="Arial" w:cs="Arial" w:eastAsia="Arial" w:hAnsi="Arial"/>
          <w:sz w:val="21"/>
          <w:szCs w:val="21"/>
          <w:color w:val="auto"/>
        </w:rPr>
        <w:t>and any other restrictions and obligations related thereto. Capital expenditures that are not Product-specific, including but not limited to maintaining regulatory compliance or expanding capacity, shall be borne by SHL.</w:t>
      </w:r>
    </w:p>
    <w:p>
      <w:pPr>
        <w:spacing w:after="0" w:line="151"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6.5</w:t>
      </w:r>
      <w:r>
        <w:rPr>
          <w:sz w:val="20"/>
          <w:szCs w:val="20"/>
          <w:color w:val="auto"/>
        </w:rPr>
        <w:tab/>
      </w:r>
      <w:r>
        <w:rPr>
          <w:rFonts w:ascii="Arial" w:cs="Arial" w:eastAsia="Arial" w:hAnsi="Arial"/>
          <w:sz w:val="22"/>
          <w:szCs w:val="22"/>
          <w:color w:val="auto"/>
        </w:rPr>
        <w:t>All Products shall be labeled and packed in bulk secondary packaging provided by SHL. SHL shall be responsible for safe and adequate labeling and packaging of the Products for warehousing and shipping, which shall conform to Customer’s Product specifications and requirements, Exhibit A, and the carrier’s requirements. Each Product will be bulk packaged and shipped with all relevant material information and documentation, as specified in tire Quality Agreements or Exhibit A.</w:t>
      </w:r>
    </w:p>
    <w:p>
      <w:pPr>
        <w:spacing w:after="0" w:line="191" w:lineRule="exact"/>
        <w:rPr>
          <w:sz w:val="20"/>
          <w:szCs w:val="20"/>
          <w:color w:val="auto"/>
        </w:rPr>
      </w:pPr>
    </w:p>
    <w:p>
      <w:pPr>
        <w:jc w:val="both"/>
        <w:ind w:left="980" w:hanging="647"/>
        <w:spacing w:after="0" w:line="305" w:lineRule="auto"/>
        <w:tabs>
          <w:tab w:leader="none" w:pos="960" w:val="left"/>
        </w:tabs>
        <w:rPr>
          <w:sz w:val="20"/>
          <w:szCs w:val="20"/>
          <w:color w:val="auto"/>
        </w:rPr>
      </w:pPr>
      <w:r>
        <w:rPr>
          <w:rFonts w:ascii="Arial" w:cs="Arial" w:eastAsia="Arial" w:hAnsi="Arial"/>
          <w:sz w:val="22"/>
          <w:szCs w:val="22"/>
          <w:color w:val="010000"/>
        </w:rPr>
        <w:t>6.6</w:t>
      </w:r>
      <w:r>
        <w:rPr>
          <w:sz w:val="20"/>
          <w:szCs w:val="20"/>
          <w:color w:val="auto"/>
        </w:rPr>
        <w:tab/>
      </w:r>
      <w:r>
        <w:rPr>
          <w:rFonts w:ascii="Arial" w:cs="Arial" w:eastAsia="Arial" w:hAnsi="Arial"/>
          <w:sz w:val="19"/>
          <w:szCs w:val="19"/>
          <w:color w:val="auto"/>
        </w:rPr>
        <w:t>Except as provided under Article 23 and Section 5.2.3, if at any time during the Term, SHL is or expects mat it will be unable, in full or in part, to fulfill Customer’s Product Purchase Orders for any reason, SHL shall immediately notify Customer, detailing the extent to which it will not meet such requirements and provide Customer with the expected date of arrival of the Products. If Customer, m good faith, cannot accept the new date specified for delivery by SHL, or if the shipment fails to dispatch from the Facility within [***] after the delivery date specified on the original or revised Purchase Order, Customer shall be entitled to [***] reduction in Price for Product delivered under that order. For the absence of doubt, SHL is not responsible for delivery delays and/or failure to ship correct quantities of Product where such delays and failures are due to delays or short-falls in delivery of Customer Materials pursuant to Section 3.</w:t>
      </w:r>
    </w:p>
    <w:p>
      <w:pPr>
        <w:spacing w:after="0" w:line="156"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6.7</w:t>
      </w:r>
      <w:r>
        <w:rPr>
          <w:sz w:val="20"/>
          <w:szCs w:val="20"/>
          <w:color w:val="auto"/>
        </w:rPr>
        <w:tab/>
      </w:r>
      <w:r>
        <w:rPr>
          <w:rFonts w:ascii="Arial" w:cs="Arial" w:eastAsia="Arial" w:hAnsi="Arial"/>
          <w:sz w:val="19"/>
          <w:szCs w:val="19"/>
          <w:color w:val="auto"/>
        </w:rPr>
        <w:t>Upon Customer’s written request, SHL will store the Products at die Facility at no additional charge for a period of up to</w:t>
      </w:r>
    </w:p>
    <w:p>
      <w:pPr>
        <w:spacing w:after="0" w:line="22" w:lineRule="exact"/>
        <w:rPr>
          <w:sz w:val="20"/>
          <w:szCs w:val="20"/>
          <w:color w:val="auto"/>
        </w:rPr>
      </w:pPr>
    </w:p>
    <w:p>
      <w:pPr>
        <w:jc w:val="both"/>
        <w:ind w:left="980"/>
        <w:spacing w:after="0" w:line="303" w:lineRule="auto"/>
        <w:tabs>
          <w:tab w:leader="none" w:pos="15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after release unless otherwise agreed to by the Parties. SHL may charge Customer a storage fee for any storage beyond [***] in an amount to be specified by SHL at a later date. In the event that SHL stores Products for Customer, Customer shall retain title to Products, and risk of loss or damage related to Products shall remain with Customer. SHL shall take such commercially reasonable efforts as are reasonably necessary to protect Products from damage, deterioration, loss, or theft. SHL will store all Products under the appropriate temperature and storage conditions as provided in the Quality Agreement and the Agreement. SHL shall not grant, nor permit any creditor or other third party to acquire any security interest, lien or other interest in or encumbrance on the Products. SHL shall reimburse Customer for any loss of or damage to the Products caused by SHL’s intentional misconduct or gross negligence. SHL shall issue an invoice for such Purchase Orders stored pursuant to this Section 6.7 upon release of the Product and any additional charges for storage fees shall be invoiced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6" w:right="239" w:bottom="1440" w:gutter="0" w:footer="0" w:header="0"/>
        </w:sectPr>
      </w:pPr>
    </w:p>
    <w:bookmarkStart w:id="77" w:name="page78"/>
    <w:bookmarkEnd w:id="77"/>
    <w:p>
      <w:pPr>
        <w:ind w:left="220" w:right="220" w:firstLine="279"/>
        <w:spacing w:after="0" w:line="281" w:lineRule="auto"/>
        <w:tabs>
          <w:tab w:leader="none" w:pos="973"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304" w:lineRule="auto"/>
        <w:tabs>
          <w:tab w:leader="none" w:pos="960" w:val="left"/>
        </w:tabs>
        <w:rPr>
          <w:sz w:val="20"/>
          <w:szCs w:val="20"/>
          <w:color w:val="auto"/>
        </w:rPr>
      </w:pPr>
      <w:r>
        <w:rPr>
          <w:rFonts w:ascii="Arial" w:cs="Arial" w:eastAsia="Arial" w:hAnsi="Arial"/>
          <w:sz w:val="22"/>
          <w:szCs w:val="22"/>
          <w:color w:val="010000"/>
        </w:rPr>
        <w:t>6.8</w:t>
      </w:r>
      <w:r>
        <w:rPr>
          <w:sz w:val="20"/>
          <w:szCs w:val="20"/>
          <w:color w:val="auto"/>
        </w:rPr>
        <w:tab/>
      </w:r>
      <w:r>
        <w:rPr>
          <w:rFonts w:ascii="Arial" w:cs="Arial" w:eastAsia="Arial" w:hAnsi="Arial"/>
          <w:sz w:val="19"/>
          <w:szCs w:val="19"/>
          <w:color w:val="auto"/>
        </w:rPr>
        <w:t>In the event SHL is unable to deliver the Product due to a non-conformance issue associated with the Primary Packaging or for any cause that cannot be directly imputed to SHL’s performance of this Agreement (such as delay or failure to deliver Customer Material pursuant to Section 3), SHL will store inventory of the Devices, Primary Packaging or the Products at the Facilities for such period of time required to solve the non-conformance issue associated with the Primary Packaging or the cause preventing the delivery of the Products. In the event that SHL is required to store excess inventory of the Devices, Primary Packaging or Product for Customer in accordance with this section, SHL shall: (i) charge Customer a storage fee in an amount to be specified by SHL at a later date; (ii) retain title to Devices and Products only, and (hi) store the Devices, Primary Packaging and Products under the appropriate temperature and storage conditions as provided in the Quality Agreements and the Agreement.</w:t>
      </w:r>
    </w:p>
    <w:p>
      <w:pPr>
        <w:spacing w:after="0" w:line="156"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6.9</w:t>
      </w:r>
      <w:r>
        <w:rPr>
          <w:sz w:val="20"/>
          <w:szCs w:val="20"/>
          <w:color w:val="auto"/>
        </w:rPr>
        <w:tab/>
      </w:r>
      <w:r>
        <w:rPr>
          <w:rFonts w:ascii="Arial" w:cs="Arial" w:eastAsia="Arial" w:hAnsi="Arial"/>
          <w:sz w:val="22"/>
          <w:szCs w:val="22"/>
          <w:color w:val="auto"/>
        </w:rPr>
        <w:t>In the event that inventories related to the Product need to be disposed of due to delays pursuant to Section 6.8 or changes in the design of Product, Customer shall be responsible for costs related to replacing and/or disposing of such inventories, except for limitations to SHL inventory as otherwise stated herein. In such an event, Customer shall not be liable for more than [***] of SI IL printed component inventory or [***] of SHI. Device inventory as applicable to the then current Roiling Forecast.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22"/>
          <w:szCs w:val="22"/>
          <w:b w:val="1"/>
          <w:bCs w:val="1"/>
          <w:color w:val="010000"/>
        </w:rPr>
      </w:pPr>
      <w:r>
        <w:rPr>
          <w:rFonts w:ascii="Arial" w:cs="Arial" w:eastAsia="Arial" w:hAnsi="Arial"/>
          <w:sz w:val="22"/>
          <w:szCs w:val="22"/>
          <w:b w:val="1"/>
          <w:bCs w:val="1"/>
          <w:color w:val="auto"/>
        </w:rPr>
        <w:t>CONFORMANCE</w:t>
      </w:r>
    </w:p>
    <w:p>
      <w:pPr>
        <w:spacing w:after="0" w:line="239" w:lineRule="exact"/>
        <w:rPr>
          <w:rFonts w:ascii="Arial" w:cs="Arial" w:eastAsia="Arial" w:hAnsi="Arial"/>
          <w:sz w:val="22"/>
          <w:szCs w:val="22"/>
          <w:b w:val="1"/>
          <w:bCs w:val="1"/>
          <w:color w:val="010000"/>
        </w:rPr>
      </w:pPr>
    </w:p>
    <w:p>
      <w:pPr>
        <w:ind w:left="34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7.1    </w:t>
      </w:r>
      <w:r>
        <w:rPr>
          <w:rFonts w:ascii="Arial" w:cs="Arial" w:eastAsia="Arial" w:hAnsi="Arial"/>
          <w:sz w:val="22"/>
          <w:szCs w:val="22"/>
          <w:color w:val="000000"/>
        </w:rPr>
        <w:t>Unless as otherwise stated in the Quality Agreements, prior to delivering Product, SHL shall:</w:t>
      </w:r>
    </w:p>
    <w:p>
      <w:pPr>
        <w:spacing w:after="0" w:line="233" w:lineRule="exact"/>
        <w:rPr>
          <w:sz w:val="20"/>
          <w:szCs w:val="20"/>
          <w:color w:val="auto"/>
        </w:rPr>
      </w:pPr>
    </w:p>
    <w:p>
      <w:pPr>
        <w:jc w:val="center"/>
        <w:ind w:left="660"/>
        <w:spacing w:after="0"/>
        <w:tabs>
          <w:tab w:leader="none" w:pos="200" w:val="left"/>
        </w:tabs>
        <w:rPr>
          <w:sz w:val="20"/>
          <w:szCs w:val="20"/>
          <w:color w:val="auto"/>
        </w:rPr>
      </w:pPr>
      <w:r>
        <w:rPr>
          <w:rFonts w:ascii="Arial" w:cs="Arial" w:eastAsia="Arial" w:hAnsi="Arial"/>
          <w:sz w:val="22"/>
          <w:szCs w:val="22"/>
          <w:color w:val="010000"/>
        </w:rPr>
        <w:t>7.1.1</w:t>
      </w:r>
      <w:r>
        <w:rPr>
          <w:sz w:val="20"/>
          <w:szCs w:val="20"/>
          <w:color w:val="auto"/>
        </w:rPr>
        <w:tab/>
      </w:r>
      <w:r>
        <w:rPr>
          <w:rFonts w:ascii="Arial" w:cs="Arial" w:eastAsia="Arial" w:hAnsi="Arial"/>
          <w:sz w:val="19"/>
          <w:szCs w:val="19"/>
          <w:color w:val="auto"/>
        </w:rPr>
        <w:t>confirm Device sub-assemblies supplied by SHL’s Affiliate, Scandinavian Health, conform to specifications and</w:t>
      </w:r>
    </w:p>
    <w:p>
      <w:pPr>
        <w:spacing w:after="0" w:line="22" w:lineRule="exact"/>
        <w:rPr>
          <w:sz w:val="20"/>
          <w:szCs w:val="20"/>
          <w:color w:val="auto"/>
        </w:rPr>
      </w:pPr>
    </w:p>
    <w:p>
      <w:pPr>
        <w:jc w:val="center"/>
        <w:ind w:left="680"/>
        <w:spacing w:after="0"/>
        <w:rPr>
          <w:sz w:val="20"/>
          <w:szCs w:val="20"/>
          <w:color w:val="auto"/>
        </w:rPr>
      </w:pPr>
      <w:r>
        <w:rPr>
          <w:rFonts w:ascii="Arial" w:cs="Arial" w:eastAsia="Arial" w:hAnsi="Arial"/>
          <w:sz w:val="22"/>
          <w:szCs w:val="22"/>
          <w:color w:val="auto"/>
        </w:rPr>
        <w:t>perform local Quality reviews and batch release at their Facilities according to applicable laws and GMP; and</w:t>
      </w:r>
    </w:p>
    <w:p>
      <w:pPr>
        <w:spacing w:after="0" w:line="229" w:lineRule="exact"/>
        <w:rPr>
          <w:sz w:val="20"/>
          <w:szCs w:val="20"/>
          <w:color w:val="auto"/>
        </w:rPr>
      </w:pPr>
    </w:p>
    <w:p>
      <w:pPr>
        <w:ind w:left="1300" w:hanging="647"/>
        <w:spacing w:after="0" w:line="276" w:lineRule="auto"/>
        <w:tabs>
          <w:tab w:leader="none" w:pos="1280" w:val="left"/>
        </w:tabs>
        <w:rPr>
          <w:sz w:val="20"/>
          <w:szCs w:val="20"/>
          <w:color w:val="auto"/>
        </w:rPr>
      </w:pPr>
      <w:r>
        <w:rPr>
          <w:rFonts w:ascii="Arial" w:cs="Arial" w:eastAsia="Arial" w:hAnsi="Arial"/>
          <w:sz w:val="22"/>
          <w:szCs w:val="22"/>
          <w:color w:val="010000"/>
        </w:rPr>
        <w:t>7.1.2</w:t>
      </w:r>
      <w:r>
        <w:rPr>
          <w:rFonts w:ascii="Arial" w:cs="Arial" w:eastAsia="Arial" w:hAnsi="Arial"/>
          <w:sz w:val="22"/>
          <w:szCs w:val="22"/>
          <w:color w:val="auto"/>
        </w:rPr>
        <w:tab/>
        <w:t>confirm Product conforms to the specifications and perform a local Quality review and batch release according to applicable laws and GMP; and</w:t>
      </w:r>
    </w:p>
    <w:p>
      <w:pPr>
        <w:spacing w:after="0" w:line="174" w:lineRule="exact"/>
        <w:rPr>
          <w:sz w:val="20"/>
          <w:szCs w:val="20"/>
          <w:color w:val="auto"/>
        </w:rPr>
      </w:pPr>
    </w:p>
    <w:p>
      <w:pPr>
        <w:ind w:left="1300" w:hanging="647"/>
        <w:spacing w:after="0" w:line="276" w:lineRule="auto"/>
        <w:tabs>
          <w:tab w:leader="none" w:pos="1280" w:val="left"/>
        </w:tabs>
        <w:rPr>
          <w:sz w:val="20"/>
          <w:szCs w:val="20"/>
          <w:color w:val="auto"/>
        </w:rPr>
      </w:pPr>
      <w:r>
        <w:rPr>
          <w:rFonts w:ascii="Arial" w:cs="Arial" w:eastAsia="Arial" w:hAnsi="Arial"/>
          <w:sz w:val="22"/>
          <w:szCs w:val="22"/>
          <w:color w:val="010000"/>
        </w:rPr>
        <w:t>7.1.3</w:t>
      </w:r>
      <w:r>
        <w:rPr>
          <w:rFonts w:ascii="Arial" w:cs="Arial" w:eastAsia="Arial" w:hAnsi="Arial"/>
          <w:sz w:val="22"/>
          <w:szCs w:val="22"/>
          <w:color w:val="auto"/>
        </w:rPr>
        <w:tab/>
        <w:t>provide Customer with a certificate of compliance, deviation and investigation reports, and any other Product batch documentation required for Customer review, acceptance, and release; and</w:t>
      </w:r>
    </w:p>
    <w:p>
      <w:pPr>
        <w:spacing w:after="0" w:line="174" w:lineRule="exact"/>
        <w:rPr>
          <w:sz w:val="20"/>
          <w:szCs w:val="20"/>
          <w:color w:val="auto"/>
        </w:rPr>
      </w:pPr>
    </w:p>
    <w:p>
      <w:pPr>
        <w:ind w:left="1300" w:hanging="647"/>
        <w:spacing w:after="0" w:line="276" w:lineRule="auto"/>
        <w:tabs>
          <w:tab w:leader="none" w:pos="1280" w:val="left"/>
        </w:tabs>
        <w:rPr>
          <w:sz w:val="20"/>
          <w:szCs w:val="20"/>
          <w:color w:val="auto"/>
        </w:rPr>
      </w:pPr>
      <w:r>
        <w:rPr>
          <w:rFonts w:ascii="Arial" w:cs="Arial" w:eastAsia="Arial" w:hAnsi="Arial"/>
          <w:sz w:val="22"/>
          <w:szCs w:val="22"/>
          <w:color w:val="010000"/>
        </w:rPr>
        <w:t>7.1.4</w:t>
      </w:r>
      <w:r>
        <w:rPr>
          <w:rFonts w:ascii="Arial" w:cs="Arial" w:eastAsia="Arial" w:hAnsi="Arial"/>
          <w:sz w:val="22"/>
          <w:szCs w:val="22"/>
          <w:color w:val="auto"/>
        </w:rPr>
        <w:tab/>
        <w:t>retain and store Product at the Facility under proper conditions until Customer has reviewed, accepted and provided written release for a Product batch; and</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010000"/>
        </w:rPr>
        <w:t>7.1.5</w:t>
      </w:r>
      <w:r>
        <w:rPr>
          <w:sz w:val="20"/>
          <w:szCs w:val="20"/>
          <w:color w:val="auto"/>
        </w:rPr>
        <w:tab/>
      </w:r>
      <w:r>
        <w:rPr>
          <w:rFonts w:ascii="Arial" w:cs="Arial" w:eastAsia="Arial" w:hAnsi="Arial"/>
          <w:sz w:val="19"/>
          <w:szCs w:val="19"/>
          <w:color w:val="auto"/>
        </w:rPr>
        <w:t>pull and retain samples for each batch of Product.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6" w:right="239" w:bottom="1440" w:gutter="0" w:footer="0" w:header="0"/>
        </w:sectPr>
      </w:pPr>
    </w:p>
    <w:bookmarkStart w:id="78" w:name="page79"/>
    <w:bookmarkEnd w:id="78"/>
    <w:p>
      <w:pPr>
        <w:ind w:left="220" w:right="220" w:firstLine="279"/>
        <w:spacing w:after="0" w:line="281" w:lineRule="auto"/>
        <w:tabs>
          <w:tab w:leader="none" w:pos="973"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317" w:lineRule="auto"/>
        <w:tabs>
          <w:tab w:leader="none" w:pos="960" w:val="left"/>
        </w:tabs>
        <w:rPr>
          <w:sz w:val="20"/>
          <w:szCs w:val="20"/>
          <w:color w:val="auto"/>
        </w:rPr>
      </w:pPr>
      <w:r>
        <w:rPr>
          <w:rFonts w:ascii="Arial" w:cs="Arial" w:eastAsia="Arial" w:hAnsi="Arial"/>
          <w:sz w:val="22"/>
          <w:szCs w:val="22"/>
          <w:color w:val="010000"/>
        </w:rPr>
        <w:t>7.2</w:t>
      </w:r>
      <w:r>
        <w:rPr>
          <w:sz w:val="20"/>
          <w:szCs w:val="20"/>
          <w:color w:val="auto"/>
        </w:rPr>
        <w:tab/>
      </w:r>
      <w:r>
        <w:rPr>
          <w:rFonts w:ascii="Arial" w:cs="Arial" w:eastAsia="Arial" w:hAnsi="Arial"/>
          <w:sz w:val="19"/>
          <w:szCs w:val="19"/>
          <w:color w:val="auto"/>
        </w:rPr>
        <w:t>SHL represents and warrants to Customer that, at die time of delivery, to the exception of the Primary Packaging, the Devices and Products will conform to and will have been processed in conformance with applicable specifications, change controls, Quality Agreements and laws, including GMP and be free from all liens, encumbrances and defects in the title other than those that arise directly as a result of actions taken by Customer.</w:t>
      </w:r>
    </w:p>
    <w:p>
      <w:pPr>
        <w:spacing w:after="0" w:line="142" w:lineRule="exact"/>
        <w:rPr>
          <w:sz w:val="20"/>
          <w:szCs w:val="20"/>
          <w:color w:val="auto"/>
        </w:rPr>
      </w:pPr>
    </w:p>
    <w:p>
      <w:pPr>
        <w:jc w:val="both"/>
        <w:ind w:left="980" w:hanging="647"/>
        <w:spacing w:after="0" w:line="309" w:lineRule="auto"/>
        <w:tabs>
          <w:tab w:leader="none" w:pos="960" w:val="left"/>
        </w:tabs>
        <w:rPr>
          <w:sz w:val="20"/>
          <w:szCs w:val="20"/>
          <w:color w:val="auto"/>
        </w:rPr>
      </w:pPr>
      <w:r>
        <w:rPr>
          <w:rFonts w:ascii="Arial" w:cs="Arial" w:eastAsia="Arial" w:hAnsi="Arial"/>
          <w:sz w:val="22"/>
          <w:szCs w:val="22"/>
          <w:color w:val="010000"/>
        </w:rPr>
        <w:t>7.3</w:t>
      </w:r>
      <w:r>
        <w:rPr>
          <w:sz w:val="20"/>
          <w:szCs w:val="20"/>
          <w:color w:val="auto"/>
        </w:rPr>
        <w:tab/>
      </w:r>
      <w:r>
        <w:rPr>
          <w:rFonts w:ascii="Arial" w:cs="Arial" w:eastAsia="Arial" w:hAnsi="Arial"/>
          <w:sz w:val="19"/>
          <w:szCs w:val="19"/>
          <w:color w:val="auto"/>
        </w:rPr>
        <w:t>The shelf life of a Device batch, including Device sub-assemblies used in a Product, shall be a minimum of [***] from the date of Product assembly. The shelf life of a Product batch shall be the shelf life assigned to the Primary Packaging batch used in the Product, as determined by Customer or Customer’s contractor, unless otherwise limited by the remaining shelf life of the Device at time of Product assembly, in accordance with the Quality Agreements. For the avoidance of doubt, the shelf life of the assembled Product shall not exceed the [***], unless the Parties agree the assembled Device shelf life can be extended beyond [***] in accordance with the Quality Agreements.</w:t>
      </w:r>
    </w:p>
    <w:p>
      <w:pPr>
        <w:spacing w:after="0" w:line="149" w:lineRule="exact"/>
        <w:rPr>
          <w:sz w:val="20"/>
          <w:szCs w:val="20"/>
          <w:color w:val="auto"/>
        </w:rPr>
      </w:pPr>
    </w:p>
    <w:p>
      <w:pPr>
        <w:jc w:val="both"/>
        <w:ind w:left="980" w:hanging="647"/>
        <w:spacing w:after="0" w:line="303" w:lineRule="auto"/>
        <w:tabs>
          <w:tab w:leader="none" w:pos="960" w:val="left"/>
        </w:tabs>
        <w:rPr>
          <w:sz w:val="20"/>
          <w:szCs w:val="20"/>
          <w:color w:val="auto"/>
        </w:rPr>
      </w:pPr>
      <w:r>
        <w:rPr>
          <w:rFonts w:ascii="Arial" w:cs="Arial" w:eastAsia="Arial" w:hAnsi="Arial"/>
          <w:sz w:val="22"/>
          <w:szCs w:val="22"/>
          <w:color w:val="010000"/>
        </w:rPr>
        <w:t>7.4</w:t>
      </w:r>
      <w:r>
        <w:rPr>
          <w:sz w:val="20"/>
          <w:szCs w:val="20"/>
          <w:color w:val="auto"/>
        </w:rPr>
        <w:tab/>
      </w:r>
      <w:r>
        <w:rPr>
          <w:rFonts w:ascii="Arial" w:cs="Arial" w:eastAsia="Arial" w:hAnsi="Arial"/>
          <w:sz w:val="19"/>
          <w:szCs w:val="19"/>
          <w:color w:val="auto"/>
        </w:rPr>
        <w:t>In the event that any Product delivered hereunder fails to conform to the specifications applicable thereto or any of the warranties provided in this Agreement, Customer may reject the same by giving notice thereof to SIIL, for any defects other than Latent Defects, within [***] after delivery, and for Latent Defects, within the shelf life of the Product, which notice shall specify the manner in which the Product fails to conform to any applicable specifications. All rejected Products will be returned to SHL or destroyed at SHL’s option and expense, if Device or Product assembly-related. In the event SHL accepts that Customer’s rejection is justified, the Product rejected in accordance with this section will be replaced as soon as practically possible by SHL with Product that meets the specifications and quality requirements set forth in this Agreement at no cost to Customer, to the exception of any Primary Packaging-related expenses. The foregoing remedy is Customer’s exclusive remedy with respect to SHL’s failure to deliver a Product that meets the specifications and quality requirements set forth in the Agreement.</w:t>
      </w:r>
    </w:p>
    <w:p>
      <w:pPr>
        <w:spacing w:after="0" w:line="159" w:lineRule="exact"/>
        <w:rPr>
          <w:sz w:val="20"/>
          <w:szCs w:val="20"/>
          <w:color w:val="auto"/>
        </w:rPr>
      </w:pPr>
    </w:p>
    <w:p>
      <w:pPr>
        <w:jc w:val="both"/>
        <w:ind w:left="980" w:hanging="647"/>
        <w:spacing w:after="0" w:line="273" w:lineRule="auto"/>
        <w:tabs>
          <w:tab w:leader="none" w:pos="960" w:val="left"/>
        </w:tabs>
        <w:rPr>
          <w:sz w:val="20"/>
          <w:szCs w:val="20"/>
          <w:color w:val="auto"/>
        </w:rPr>
      </w:pPr>
      <w:r>
        <w:rPr>
          <w:rFonts w:ascii="Arial" w:cs="Arial" w:eastAsia="Arial" w:hAnsi="Arial"/>
          <w:sz w:val="22"/>
          <w:szCs w:val="22"/>
          <w:color w:val="010000"/>
        </w:rPr>
        <w:t>7.5</w:t>
      </w:r>
      <w:r>
        <w:rPr>
          <w:sz w:val="20"/>
          <w:szCs w:val="20"/>
          <w:color w:val="auto"/>
        </w:rPr>
        <w:tab/>
      </w:r>
      <w:r>
        <w:rPr>
          <w:rFonts w:ascii="Arial" w:cs="Arial" w:eastAsia="Arial" w:hAnsi="Arial"/>
          <w:sz w:val="21"/>
          <w:szCs w:val="21"/>
          <w:color w:val="auto"/>
        </w:rPr>
        <w:t>If the Parties disagree as to whether a Product conforms to the specifications applicable thereto or the warranties provided in this Agreement, the Parties shall cooperate to have the Product in dispute analyzed by an independent testing laboratory commonly selected or agreed to by the Parties, as defined in the Quality Agreements. The results of such testing shall be final and binding on the Parties on the issue of conformance. If the Product is determined to conform to the specifications and the warranties, Customer shall bear the cost of the testing and pay for the Product If the Product is determined not to conform to the specifications and the warranties, SHL shall bear the cost of the testing and provide the remedies described in Section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6" w:right="239" w:bottom="1440" w:gutter="0" w:footer="0" w:header="0"/>
        </w:sectPr>
      </w:pPr>
    </w:p>
    <w:bookmarkStart w:id="79" w:name="page80"/>
    <w:bookmarkEnd w:id="79"/>
    <w:p>
      <w:pPr>
        <w:ind w:left="220" w:right="220" w:firstLine="279"/>
        <w:spacing w:after="0" w:line="281" w:lineRule="auto"/>
        <w:tabs>
          <w:tab w:leader="none" w:pos="973"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260" w:lineRule="auto"/>
        <w:tabs>
          <w:tab w:leader="none" w:pos="960" w:val="left"/>
        </w:tabs>
        <w:rPr>
          <w:sz w:val="20"/>
          <w:szCs w:val="20"/>
          <w:color w:val="auto"/>
        </w:rPr>
      </w:pPr>
      <w:r>
        <w:rPr>
          <w:rFonts w:ascii="Arial" w:cs="Arial" w:eastAsia="Arial" w:hAnsi="Arial"/>
          <w:sz w:val="22"/>
          <w:szCs w:val="22"/>
          <w:color w:val="010000"/>
        </w:rPr>
        <w:t>7.6</w:t>
      </w:r>
      <w:r>
        <w:rPr>
          <w:sz w:val="20"/>
          <w:szCs w:val="20"/>
          <w:color w:val="auto"/>
        </w:rPr>
        <w:tab/>
      </w:r>
      <w:r>
        <w:rPr>
          <w:rFonts w:ascii="Arial" w:cs="Arial" w:eastAsia="Arial" w:hAnsi="Arial"/>
          <w:sz w:val="22"/>
          <w:szCs w:val="22"/>
          <w:color w:val="auto"/>
        </w:rPr>
        <w:t xml:space="preserve">In the event that Customer initiates a Product recall that can be attributed to </w:t>
      </w:r>
      <w:r>
        <w:rPr>
          <w:rFonts w:ascii="Arial" w:cs="Arial" w:eastAsia="Arial" w:hAnsi="Arial"/>
          <w:sz w:val="22"/>
          <w:szCs w:val="22"/>
          <w:i w:val="1"/>
          <w:iCs w:val="1"/>
          <w:color w:val="auto"/>
        </w:rPr>
        <w:t>a</w:t>
      </w:r>
      <w:r>
        <w:rPr>
          <w:rFonts w:ascii="Arial" w:cs="Arial" w:eastAsia="Arial" w:hAnsi="Arial"/>
          <w:sz w:val="22"/>
          <w:szCs w:val="22"/>
          <w:color w:val="auto"/>
        </w:rPr>
        <w:t xml:space="preserve"> Latent Defect associated with the Device or Product and that is directly attributed to SHL’s lack of performance of Services or conformance with Product specifications, such recalled Product shall be replaced as soon as practically possible by SHL with Product that meets the specifications and quality requirements set forth m this Agreement and the Quality Agreements at [***]. For the avoidance of doubt, this Section 7.6 shall not serve to limit any remedies available to Customer pursuant to Section 15 hereunder.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2"/>
          <w:szCs w:val="22"/>
          <w:b w:val="1"/>
          <w:bCs w:val="1"/>
          <w:color w:val="010000"/>
        </w:rPr>
      </w:pPr>
      <w:r>
        <w:rPr>
          <w:rFonts w:ascii="Arial" w:cs="Arial" w:eastAsia="Arial" w:hAnsi="Arial"/>
          <w:sz w:val="22"/>
          <w:szCs w:val="22"/>
          <w:b w:val="1"/>
          <w:bCs w:val="1"/>
          <w:color w:val="auto"/>
        </w:rPr>
        <w:t>INSPECTIONS AND AUDITS</w:t>
      </w:r>
    </w:p>
    <w:p>
      <w:pPr>
        <w:spacing w:after="0" w:line="239" w:lineRule="exact"/>
        <w:rPr>
          <w:rFonts w:ascii="Arial" w:cs="Arial" w:eastAsia="Arial" w:hAnsi="Arial"/>
          <w:sz w:val="22"/>
          <w:szCs w:val="22"/>
          <w:b w:val="1"/>
          <w:bCs w:val="1"/>
          <w:color w:val="010000"/>
        </w:rPr>
      </w:pPr>
    </w:p>
    <w:p>
      <w:pPr>
        <w:ind w:left="980" w:hanging="648"/>
        <w:spacing w:after="0" w:line="302" w:lineRule="auto"/>
        <w:rPr>
          <w:rFonts w:ascii="Arial" w:cs="Arial" w:eastAsia="Arial" w:hAnsi="Arial"/>
          <w:sz w:val="22"/>
          <w:szCs w:val="22"/>
          <w:b w:val="1"/>
          <w:bCs w:val="1"/>
          <w:color w:val="010000"/>
        </w:rPr>
      </w:pPr>
      <w:r>
        <w:rPr>
          <w:rFonts w:ascii="Arial" w:cs="Arial" w:eastAsia="Arial" w:hAnsi="Arial"/>
          <w:sz w:val="19"/>
          <w:szCs w:val="19"/>
          <w:color w:val="010000"/>
        </w:rPr>
        <w:t xml:space="preserve">8.1 </w:t>
      </w:r>
      <w:r>
        <w:rPr>
          <w:rFonts w:ascii="Arial" w:cs="Arial" w:eastAsia="Arial" w:hAnsi="Arial"/>
          <w:sz w:val="19"/>
          <w:szCs w:val="19"/>
          <w:color w:val="000000"/>
        </w:rPr>
        <w:t>In accordance with the Quality Agreements, SHL shall advise Customer within [***] from the receipt of the official</w:t>
      </w:r>
      <w:r>
        <w:rPr>
          <w:rFonts w:ascii="Arial" w:cs="Arial" w:eastAsia="Arial" w:hAnsi="Arial"/>
          <w:sz w:val="19"/>
          <w:szCs w:val="19"/>
          <w:color w:val="010000"/>
        </w:rPr>
        <w:t xml:space="preserve"> </w:t>
      </w:r>
      <w:r>
        <w:rPr>
          <w:rFonts w:ascii="Arial" w:cs="Arial" w:eastAsia="Arial" w:hAnsi="Arial"/>
          <w:sz w:val="19"/>
          <w:szCs w:val="19"/>
          <w:color w:val="000000"/>
        </w:rPr>
        <w:t>request if an authorized agent of any regulatory authority visits a Facility for an inspection concerning the Device or Product, or if a regulatory authority issues a request concerning the Device or Product Upon written request, SHL shall allow Customer to review, at the Facility, a copy of the report with respect to any such visit by such regulatory authority, if any, within [***] of SHL’s receipt of such report, provided that such review shall be subject to the provisions of Article 10 of this Agreement and that Customer shall not be allowed to make any copy of the documents reviewed. Prior to SHL submitting a response to any Device-specific or Product-specific regulatory authority regarding an inspection or request, Customer has the right to review any such response prior to submission to a regulatory authority. Customer’s right to review reports, data or documents under this section shall be subject to (i) SHL’s confidentiality obligations toward third parties, and (ii) SHL’s right to refuse to disclose proprietary data or information, to be exercised at SHL’s discretion, based on the nature of such data or information, the costs and expense of any regulatory audits that are specific to the Device or Product shall be borne by Customer.</w:t>
      </w:r>
    </w:p>
    <w:p>
      <w:pPr>
        <w:spacing w:after="0" w:line="158" w:lineRule="exact"/>
        <w:rPr>
          <w:rFonts w:ascii="Arial" w:cs="Arial" w:eastAsia="Arial" w:hAnsi="Arial"/>
          <w:sz w:val="22"/>
          <w:szCs w:val="22"/>
          <w:b w:val="1"/>
          <w:bCs w:val="1"/>
          <w:color w:val="010000"/>
        </w:rPr>
      </w:pPr>
    </w:p>
    <w:p>
      <w:pPr>
        <w:ind w:left="980" w:hanging="648"/>
        <w:spacing w:after="0" w:line="271" w:lineRule="auto"/>
        <w:rPr>
          <w:rFonts w:ascii="Arial" w:cs="Arial" w:eastAsia="Arial" w:hAnsi="Arial"/>
          <w:sz w:val="22"/>
          <w:szCs w:val="22"/>
          <w:b w:val="1"/>
          <w:bCs w:val="1"/>
          <w:color w:val="010000"/>
        </w:rPr>
      </w:pPr>
      <w:r>
        <w:rPr>
          <w:rFonts w:ascii="Arial" w:cs="Arial" w:eastAsia="Arial" w:hAnsi="Arial"/>
          <w:sz w:val="21"/>
          <w:szCs w:val="21"/>
          <w:color w:val="010000"/>
        </w:rPr>
        <w:t xml:space="preserve">8.2 </w:t>
      </w:r>
      <w:r>
        <w:rPr>
          <w:rFonts w:ascii="Arial" w:cs="Arial" w:eastAsia="Arial" w:hAnsi="Arial"/>
          <w:sz w:val="21"/>
          <w:szCs w:val="21"/>
          <w:color w:val="000000"/>
        </w:rPr>
        <w:t>In accordance with the Quality Agreements, Customer shall have the right, either by itself or through SHL approved</w:t>
      </w:r>
      <w:r>
        <w:rPr>
          <w:rFonts w:ascii="Arial" w:cs="Arial" w:eastAsia="Arial" w:hAnsi="Arial"/>
          <w:sz w:val="21"/>
          <w:szCs w:val="21"/>
          <w:color w:val="010000"/>
        </w:rPr>
        <w:t xml:space="preserve"> </w:t>
      </w:r>
      <w:r>
        <w:rPr>
          <w:rFonts w:ascii="Arial" w:cs="Arial" w:eastAsia="Arial" w:hAnsi="Arial"/>
          <w:sz w:val="21"/>
          <w:szCs w:val="21"/>
          <w:color w:val="000000"/>
        </w:rPr>
        <w:t>independent outside auditors or consultants, which approval shall not be unreasonably withheld, not more than [***] during the Term to inspect and audit areas at each Facility where Services are performed by SHL; provided however, in situations where reasonable cause is shown. Customer shall have the right to audit more frequently for such situations. Such an audit may include the examination of production or quality records or performance of a general GMP audit, but excludes the right to make any copy of the documents reviewed or to Lake any photograph of the Facility visited. All such audits and any activity related to such shall be at Customer’s sole expense and shall (i) require at a minimum [***] advance written notice, (ii) occur during normal business hours as coordinated with SHL, and (hi) be scheduled in a manner that does not interfere unreasonably with operations. A condition of any such audit is that any such auditor or consultant shall enter into an agreement with the Parties on terms pursuant to which such independent auditor or consultant shall agree to maintain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6" w:right="239" w:bottom="1440" w:gutter="0" w:footer="0" w:header="0"/>
        </w:sectPr>
      </w:pPr>
    </w:p>
    <w:bookmarkStart w:id="80" w:name="page81"/>
    <w:bookmarkEnd w:id="80"/>
    <w:p>
      <w:pPr>
        <w:ind w:left="220" w:right="220" w:firstLine="279"/>
        <w:spacing w:after="0" w:line="281" w:lineRule="auto"/>
        <w:tabs>
          <w:tab w:leader="none" w:pos="9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right="20"/>
        <w:spacing w:after="0" w:line="276" w:lineRule="auto"/>
        <w:rPr>
          <w:sz w:val="20"/>
          <w:szCs w:val="20"/>
          <w:color w:val="auto"/>
        </w:rPr>
      </w:pPr>
      <w:r>
        <w:rPr>
          <w:rFonts w:ascii="Arial" w:cs="Arial" w:eastAsia="Arial" w:hAnsi="Arial"/>
          <w:sz w:val="22"/>
          <w:szCs w:val="22"/>
          <w:color w:val="auto"/>
        </w:rPr>
        <w:t>the confidentiality of the information obtained during the course of such audit Customer related costs and expenses of any such audits that are specific to the Device or Product shall be borne by Customer.</w:t>
      </w:r>
    </w:p>
    <w:p>
      <w:pPr>
        <w:spacing w:after="0" w:line="174" w:lineRule="exact"/>
        <w:rPr>
          <w:sz w:val="20"/>
          <w:szCs w:val="20"/>
          <w:color w:val="auto"/>
        </w:rPr>
      </w:pPr>
    </w:p>
    <w:p>
      <w:pPr>
        <w:jc w:val="both"/>
        <w:ind w:left="980" w:right="20" w:hanging="647"/>
        <w:spacing w:after="0" w:line="276" w:lineRule="auto"/>
        <w:tabs>
          <w:tab w:leader="none" w:pos="960" w:val="left"/>
        </w:tabs>
        <w:rPr>
          <w:sz w:val="20"/>
          <w:szCs w:val="20"/>
          <w:color w:val="auto"/>
        </w:rPr>
      </w:pPr>
      <w:r>
        <w:rPr>
          <w:rFonts w:ascii="Arial" w:cs="Arial" w:eastAsia="Arial" w:hAnsi="Arial"/>
          <w:sz w:val="22"/>
          <w:szCs w:val="22"/>
          <w:color w:val="010000"/>
        </w:rPr>
        <w:t>8.3</w:t>
      </w:r>
      <w:r>
        <w:rPr>
          <w:sz w:val="20"/>
          <w:szCs w:val="20"/>
          <w:color w:val="auto"/>
        </w:rPr>
        <w:tab/>
      </w:r>
      <w:r>
        <w:rPr>
          <w:rFonts w:ascii="Arial" w:cs="Arial" w:eastAsia="Arial" w:hAnsi="Arial"/>
          <w:sz w:val="22"/>
          <w:szCs w:val="22"/>
          <w:color w:val="auto"/>
        </w:rPr>
        <w:t>Nothing in this article or in this Agreement grants Customer a right to audit or inspect SHL’s financial and/or accounting records relating to this Agreement or SHL’s business overall</w:t>
      </w:r>
    </w:p>
    <w:p>
      <w:pPr>
        <w:spacing w:after="0" w:line="174"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8.4</w:t>
      </w:r>
      <w:r>
        <w:rPr>
          <w:sz w:val="20"/>
          <w:szCs w:val="20"/>
          <w:color w:val="auto"/>
        </w:rPr>
        <w:tab/>
      </w:r>
      <w:r>
        <w:rPr>
          <w:rFonts w:ascii="Arial" w:cs="Arial" w:eastAsia="Arial" w:hAnsi="Arial"/>
          <w:sz w:val="22"/>
          <w:szCs w:val="22"/>
          <w:color w:val="auto"/>
        </w:rPr>
        <w:t>SHL will cooperate with the Authorities, in accordance with applicable laws and regulations, if such Authorities request to carry out unannounced inspections related to the Device or the Product at the Facilities, and in accordance with the Quality Agreements, SI 1L shall notify Customer as soon as reasonably possible and no later than [***] after any unannounced inspections by FDA or other Authority.</w:t>
      </w:r>
    </w:p>
    <w:p>
      <w:pPr>
        <w:spacing w:after="0" w:line="182"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22"/>
          <w:szCs w:val="22"/>
          <w:b w:val="1"/>
          <w:bCs w:val="1"/>
          <w:color w:val="010000"/>
        </w:rPr>
      </w:pPr>
      <w:r>
        <w:rPr>
          <w:rFonts w:ascii="Arial" w:cs="Arial" w:eastAsia="Arial" w:hAnsi="Arial"/>
          <w:sz w:val="22"/>
          <w:szCs w:val="22"/>
          <w:b w:val="1"/>
          <w:bCs w:val="1"/>
          <w:color w:val="auto"/>
        </w:rPr>
        <w:t>PRICES</w:t>
      </w:r>
    </w:p>
    <w:p>
      <w:pPr>
        <w:spacing w:after="0" w:line="239" w:lineRule="exact"/>
        <w:rPr>
          <w:rFonts w:ascii="Arial" w:cs="Arial" w:eastAsia="Arial" w:hAnsi="Arial"/>
          <w:sz w:val="22"/>
          <w:szCs w:val="22"/>
          <w:b w:val="1"/>
          <w:bCs w:val="1"/>
          <w:color w:val="010000"/>
        </w:rPr>
      </w:pPr>
    </w:p>
    <w:p>
      <w:pPr>
        <w:jc w:val="right"/>
        <w:ind w:left="980" w:hanging="648"/>
        <w:spacing w:after="0" w:line="297" w:lineRule="auto"/>
        <w:rPr>
          <w:rFonts w:ascii="Arial" w:cs="Arial" w:eastAsia="Arial" w:hAnsi="Arial"/>
          <w:sz w:val="22"/>
          <w:szCs w:val="22"/>
          <w:b w:val="1"/>
          <w:bCs w:val="1"/>
          <w:color w:val="010000"/>
        </w:rPr>
      </w:pPr>
      <w:r>
        <w:rPr>
          <w:rFonts w:ascii="Arial" w:cs="Arial" w:eastAsia="Arial" w:hAnsi="Arial"/>
          <w:sz w:val="19"/>
          <w:szCs w:val="19"/>
          <w:color w:val="010000"/>
        </w:rPr>
        <w:t xml:space="preserve">9.1    </w:t>
      </w:r>
      <w:r>
        <w:rPr>
          <w:rFonts w:ascii="Arial" w:cs="Arial" w:eastAsia="Arial" w:hAnsi="Arial"/>
          <w:sz w:val="19"/>
          <w:szCs w:val="19"/>
          <w:color w:val="000000"/>
        </w:rPr>
        <w:t>Product Prices stated in Appendix A (“Price”) shall be valid for a period of [***] from the date of initial production of</w:t>
      </w:r>
      <w:r>
        <w:rPr>
          <w:rFonts w:ascii="Arial" w:cs="Arial" w:eastAsia="Arial" w:hAnsi="Arial"/>
          <w:sz w:val="19"/>
          <w:szCs w:val="19"/>
          <w:color w:val="010000"/>
        </w:rPr>
        <w:t xml:space="preserve"> </w:t>
      </w:r>
      <w:r>
        <w:rPr>
          <w:rFonts w:ascii="Arial" w:cs="Arial" w:eastAsia="Arial" w:hAnsi="Arial"/>
          <w:sz w:val="19"/>
          <w:szCs w:val="19"/>
          <w:color w:val="000000"/>
        </w:rPr>
        <w:t>Product using Customer’s Primary Package commercial validation batches. For the avoidance of doubt, such Price shall include all Services specified in Appendix A and shall include the cost of the Device. After such initial [***] period, Prices shall be confirmed or renegotiated by the Parties on a [***] basis taking into consideration any significant evolution of the cost of manufacturing of the Devices or of the assembly of the Products, provided that [***] period. If an unexpected economic event causes SHL’s documented manufacturing costs for the Device to increase by more than</w:t>
      </w:r>
    </w:p>
    <w:p>
      <w:pPr>
        <w:spacing w:after="0" w:line="2" w:lineRule="exact"/>
        <w:rPr>
          <w:rFonts w:ascii="Arial" w:cs="Arial" w:eastAsia="Arial" w:hAnsi="Arial"/>
          <w:sz w:val="22"/>
          <w:szCs w:val="22"/>
          <w:b w:val="1"/>
          <w:bCs w:val="1"/>
          <w:color w:val="010000"/>
        </w:rPr>
      </w:pPr>
    </w:p>
    <w:p>
      <w:pPr>
        <w:jc w:val="both"/>
        <w:ind w:left="980"/>
        <w:spacing w:after="0" w:line="264" w:lineRule="auto"/>
        <w:tabs>
          <w:tab w:leader="none" w:pos="1515" w:val="left"/>
        </w:tabs>
        <w:numPr>
          <w:ilvl w:val="1"/>
          <w:numId w:val="66"/>
        </w:numPr>
        <w:rPr>
          <w:rFonts w:ascii="Arial" w:cs="Arial" w:eastAsia="Arial" w:hAnsi="Arial"/>
          <w:sz w:val="22"/>
          <w:szCs w:val="22"/>
          <w:color w:val="auto"/>
        </w:rPr>
      </w:pPr>
      <w:r>
        <w:rPr>
          <w:rFonts w:ascii="Arial" w:cs="Arial" w:eastAsia="Arial" w:hAnsi="Arial"/>
          <w:sz w:val="22"/>
          <w:szCs w:val="22"/>
          <w:color w:val="auto"/>
        </w:rPr>
        <w:t>within a calendar year, Parties agree to meet in good faith to negotiate a revised Price deemed equitable by both Parties. In the event Parties cannot agree on a revised Price, Parties shah have remedies as further described under Article 14.</w:t>
      </w:r>
    </w:p>
    <w:p>
      <w:pPr>
        <w:spacing w:after="0" w:line="187" w:lineRule="exact"/>
        <w:rPr>
          <w:sz w:val="20"/>
          <w:szCs w:val="20"/>
          <w:color w:val="auto"/>
        </w:rPr>
      </w:pPr>
    </w:p>
    <w:p>
      <w:pPr>
        <w:jc w:val="both"/>
        <w:ind w:left="980" w:hanging="647"/>
        <w:spacing w:after="0" w:line="272" w:lineRule="auto"/>
        <w:tabs>
          <w:tab w:leader="none" w:pos="960" w:val="left"/>
        </w:tabs>
        <w:rPr>
          <w:sz w:val="20"/>
          <w:szCs w:val="20"/>
          <w:color w:val="auto"/>
        </w:rPr>
      </w:pPr>
      <w:r>
        <w:rPr>
          <w:rFonts w:ascii="Arial" w:cs="Arial" w:eastAsia="Arial" w:hAnsi="Arial"/>
          <w:sz w:val="22"/>
          <w:szCs w:val="22"/>
          <w:color w:val="010000"/>
        </w:rPr>
        <w:t>9.2</w:t>
      </w:r>
      <w:r>
        <w:rPr>
          <w:sz w:val="20"/>
          <w:szCs w:val="20"/>
          <w:color w:val="auto"/>
        </w:rPr>
        <w:tab/>
      </w:r>
      <w:r>
        <w:rPr>
          <w:rFonts w:ascii="Arial" w:cs="Arial" w:eastAsia="Arial" w:hAnsi="Arial"/>
          <w:sz w:val="21"/>
          <w:szCs w:val="21"/>
          <w:color w:val="auto"/>
        </w:rPr>
        <w:t>Based on Customer’s expected annual Product purchases as reflected in the Rolling Forecast at the beginning of each year. Parties agree to process Purchase Orders throughout the year based on the then applicable or adjusted corresponding Price as reflected in Appendix A. If Customer’s actual annual Product purchases exceed the initial Rolling Forecast and qualifies for a lower Trice for the full year purchase volume, SHL. shall credit Customer for any Price differential for Purchase Orders already delivered and amend the Price on open Purchase Orders, and apply any such credit against open and future Purchase Orders until such credit is consumed. If Customer’s actual annual Product purchases falls below the initial Rolling Forecast and justifies a higher Price for the full year purchase volume, Customer shall reimburse SHL within [***], for any Price differential for Purchase Orders already delivered and amend the Price on open Purchase Orders as required.</w:t>
      </w:r>
    </w:p>
    <w:p>
      <w:pPr>
        <w:spacing w:after="0" w:line="184"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9.3</w:t>
      </w:r>
      <w:r>
        <w:rPr>
          <w:sz w:val="20"/>
          <w:szCs w:val="20"/>
          <w:color w:val="auto"/>
        </w:rPr>
        <w:tab/>
      </w:r>
      <w:r>
        <w:rPr>
          <w:rFonts w:ascii="Arial" w:cs="Arial" w:eastAsia="Arial" w:hAnsi="Arial"/>
          <w:sz w:val="22"/>
          <w:szCs w:val="22"/>
          <w:color w:val="auto"/>
        </w:rPr>
        <w:t>Upon release of Product pursuant to Section 6.1, SHL shall submit invoices to Customer and such invoices shall be due and payable within [***] after Customer’s receipt thereof.</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6" w:right="239" w:bottom="1440" w:gutter="0" w:footer="0" w:header="0"/>
        </w:sectPr>
      </w:pPr>
    </w:p>
    <w:bookmarkStart w:id="81" w:name="page82"/>
    <w:bookmarkEnd w:id="81"/>
    <w:p>
      <w:pPr>
        <w:ind w:left="220" w:right="220" w:firstLine="279"/>
        <w:spacing w:after="0" w:line="281" w:lineRule="auto"/>
        <w:tabs>
          <w:tab w:leader="none" w:pos="973"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line="276" w:lineRule="auto"/>
        <w:rPr>
          <w:sz w:val="20"/>
          <w:szCs w:val="20"/>
          <w:color w:val="auto"/>
        </w:rPr>
      </w:pPr>
      <w:r>
        <w:rPr>
          <w:rFonts w:ascii="Arial" w:cs="Arial" w:eastAsia="Arial" w:hAnsi="Arial"/>
          <w:sz w:val="22"/>
          <w:szCs w:val="22"/>
          <w:color w:val="auto"/>
        </w:rPr>
        <w:t>Invoices shall be sent to Customer at; payables@xerispharma.com with a copy also sent to 180 N. LaSalle Street, Chicago, TL 60601.</w:t>
      </w:r>
    </w:p>
    <w:p>
      <w:pPr>
        <w:spacing w:after="0" w:line="174"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9.4</w:t>
      </w:r>
      <w:r>
        <w:rPr>
          <w:sz w:val="20"/>
          <w:szCs w:val="20"/>
          <w:color w:val="auto"/>
        </w:rPr>
        <w:tab/>
      </w:r>
      <w:r>
        <w:rPr>
          <w:rFonts w:ascii="Arial" w:cs="Arial" w:eastAsia="Arial" w:hAnsi="Arial"/>
          <w:sz w:val="22"/>
          <w:szCs w:val="22"/>
          <w:color w:val="auto"/>
        </w:rPr>
        <w:t>All invoices must reference a valid Customer Purchase Order number. All payments to SHL shall be made by wire transfer to SHL.</w:t>
      </w:r>
    </w:p>
    <w:p>
      <w:pPr>
        <w:spacing w:after="0" w:line="174" w:lineRule="exact"/>
        <w:rPr>
          <w:sz w:val="20"/>
          <w:szCs w:val="20"/>
          <w:color w:val="auto"/>
        </w:rPr>
      </w:pPr>
    </w:p>
    <w:p>
      <w:pPr>
        <w:jc w:val="both"/>
        <w:ind w:left="980" w:hanging="647"/>
        <w:spacing w:after="0" w:line="304" w:lineRule="auto"/>
        <w:tabs>
          <w:tab w:leader="none" w:pos="960" w:val="left"/>
        </w:tabs>
        <w:rPr>
          <w:sz w:val="20"/>
          <w:szCs w:val="20"/>
          <w:color w:val="auto"/>
        </w:rPr>
      </w:pPr>
      <w:r>
        <w:rPr>
          <w:rFonts w:ascii="Arial" w:cs="Arial" w:eastAsia="Arial" w:hAnsi="Arial"/>
          <w:sz w:val="22"/>
          <w:szCs w:val="22"/>
          <w:color w:val="010000"/>
        </w:rPr>
        <w:t>9.5</w:t>
      </w:r>
      <w:r>
        <w:rPr>
          <w:sz w:val="20"/>
          <w:szCs w:val="20"/>
          <w:color w:val="auto"/>
        </w:rPr>
        <w:tab/>
      </w:r>
      <w:r>
        <w:rPr>
          <w:rFonts w:ascii="Arial" w:cs="Arial" w:eastAsia="Arial" w:hAnsi="Arial"/>
          <w:sz w:val="19"/>
          <w:szCs w:val="19"/>
          <w:color w:val="auto"/>
        </w:rPr>
        <w:t>All payments shall be exclusive of applicable taxes, including but not limited to sales tax, value added tax or withholding taxes. Any such applicable tax, including withholding taxes required under applicable law to be paid or withheld, shall be an expense of, and borne solely by, Customer. In the event any withholding tax is levied on the Services in any jurisdiction. Customer shall increase the sum effectively paid to SHL so that the amount received by SHL after withholding tax is deducted is the full amount SHL would have received if no withholding or deduction had been made, SHL shall assist Customer in any effort by Customer in claiming any exemption and/ or credit from such taxes under any double taxation or similar agreement or treaty from time to time in force, and in minimizing the amount required to be so withheld. In order to assist Customer in minimizing its withholding tax liability, upon reasonable request, SHL shall cooperate with Customer in providing necessary and reasonable documentation.</w:t>
      </w:r>
    </w:p>
    <w:p>
      <w:pPr>
        <w:spacing w:after="0" w:line="156" w:lineRule="exact"/>
        <w:rPr>
          <w:sz w:val="20"/>
          <w:szCs w:val="20"/>
          <w:color w:val="auto"/>
        </w:rPr>
      </w:pPr>
    </w:p>
    <w:p>
      <w:pPr>
        <w:jc w:val="both"/>
        <w:ind w:left="980" w:hanging="647"/>
        <w:spacing w:after="0" w:line="297" w:lineRule="auto"/>
        <w:tabs>
          <w:tab w:leader="none" w:pos="960" w:val="left"/>
        </w:tabs>
        <w:rPr>
          <w:sz w:val="20"/>
          <w:szCs w:val="20"/>
          <w:color w:val="auto"/>
        </w:rPr>
      </w:pPr>
      <w:r>
        <w:rPr>
          <w:rFonts w:ascii="Arial" w:cs="Arial" w:eastAsia="Arial" w:hAnsi="Arial"/>
          <w:sz w:val="22"/>
          <w:szCs w:val="22"/>
          <w:color w:val="010000"/>
        </w:rPr>
        <w:t>9.6</w:t>
      </w:r>
      <w:r>
        <w:rPr>
          <w:sz w:val="20"/>
          <w:szCs w:val="20"/>
          <w:color w:val="auto"/>
        </w:rPr>
        <w:tab/>
      </w:r>
      <w:r>
        <w:rPr>
          <w:rFonts w:ascii="Arial" w:cs="Arial" w:eastAsia="Arial" w:hAnsi="Arial"/>
          <w:sz w:val="19"/>
          <w:szCs w:val="19"/>
          <w:color w:val="auto"/>
        </w:rPr>
        <w:t>Notwithstanding the foregoing, Customer may contest any invoice or portion thereof if it reasonably believes that the charges reflected therein are inappropriate or questionable (paying all charges that are appropriate). For any invoice or portion of an invoice that Customer contests. Customer shall provide, within [***] of receipt of the invoice, written notification to SHL of such and SHL shall thereafter have [***] to respond to Customer. The Parties shall work together in good faith to resolve any such dispute within [***] of SHL providing its written response. Should the Parties be unable to resolve the matter within that time period, the Parties shall submit the matter to a mutually agreed third party for a binding determination regarding the disputed amount. The Parties agree that the third party shall have [***] to review, investigate, and make a determination. The costs arising during such dispute, including third party’s fees, administrative costs, attorney’s fees, and any other foreseeable and reasonable fees and expenses shall be paid within</w:t>
      </w:r>
    </w:p>
    <w:p>
      <w:pPr>
        <w:spacing w:after="0" w:line="2" w:lineRule="exact"/>
        <w:rPr>
          <w:sz w:val="20"/>
          <w:szCs w:val="20"/>
          <w:color w:val="auto"/>
        </w:rPr>
      </w:pPr>
    </w:p>
    <w:p>
      <w:pPr>
        <w:ind w:left="980"/>
        <w:spacing w:after="0" w:line="296" w:lineRule="auto"/>
        <w:tabs>
          <w:tab w:leader="none" w:pos="152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after announcement of the determination by tire Party determined by the third party not be the prevailing party. Once the matter is resolved, Customer shall pay any outstanding charges within [***] thereafter.</w:t>
      </w:r>
    </w:p>
    <w:p>
      <w:pPr>
        <w:spacing w:after="0" w:line="156" w:lineRule="exact"/>
        <w:rPr>
          <w:sz w:val="20"/>
          <w:szCs w:val="20"/>
          <w:color w:val="auto"/>
        </w:rPr>
      </w:pPr>
    </w:p>
    <w:p>
      <w:pPr>
        <w:jc w:val="both"/>
        <w:ind w:left="980" w:hanging="647"/>
        <w:spacing w:after="0" w:line="309" w:lineRule="auto"/>
        <w:tabs>
          <w:tab w:leader="none" w:pos="960" w:val="left"/>
        </w:tabs>
        <w:rPr>
          <w:sz w:val="20"/>
          <w:szCs w:val="20"/>
          <w:color w:val="auto"/>
        </w:rPr>
      </w:pPr>
      <w:r>
        <w:rPr>
          <w:rFonts w:ascii="Arial" w:cs="Arial" w:eastAsia="Arial" w:hAnsi="Arial"/>
          <w:sz w:val="22"/>
          <w:szCs w:val="22"/>
          <w:color w:val="010000"/>
        </w:rPr>
        <w:t>9.7</w:t>
      </w:r>
      <w:r>
        <w:rPr>
          <w:sz w:val="20"/>
          <w:szCs w:val="20"/>
          <w:color w:val="auto"/>
        </w:rPr>
        <w:tab/>
      </w:r>
      <w:r>
        <w:rPr>
          <w:rFonts w:ascii="Arial" w:cs="Arial" w:eastAsia="Arial" w:hAnsi="Arial"/>
          <w:sz w:val="19"/>
          <w:szCs w:val="19"/>
          <w:color w:val="auto"/>
        </w:rPr>
        <w:t>In the event of early termination of this Agreement, SHL shall invoice Customer, its complete full and final settlement for such terminated work, a sum equal to its actual direct costs for the terminated work satisfactorily performed as of the effective date of termination, plus an allowance for reasonable overhead and profit on such direct cost. SHL shall, upon request provide a financial accounting of all costs incurred and other supporting documentation for completion of payments by Customer to SHL. The time frames stated in Article 9.3 apply to any such settlements. For the avoidance of doubt, Customer shall be obligated to purchase all Safety Stock upon termination.</w:t>
      </w: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6" w:right="239" w:bottom="1440" w:gutter="0" w:footer="0" w:header="0"/>
        </w:sectPr>
      </w:pPr>
    </w:p>
    <w:bookmarkStart w:id="82" w:name="page83"/>
    <w:bookmarkEnd w:id="82"/>
    <w:p>
      <w:pPr>
        <w:ind w:left="220" w:right="220" w:firstLine="279"/>
        <w:spacing w:after="0" w:line="281" w:lineRule="auto"/>
        <w:tabs>
          <w:tab w:leader="none" w:pos="973"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right="20" w:hanging="647"/>
        <w:spacing w:after="0" w:line="276" w:lineRule="auto"/>
        <w:tabs>
          <w:tab w:leader="none" w:pos="960" w:val="left"/>
        </w:tabs>
        <w:rPr>
          <w:sz w:val="20"/>
          <w:szCs w:val="20"/>
          <w:color w:val="auto"/>
        </w:rPr>
      </w:pPr>
      <w:r>
        <w:rPr>
          <w:rFonts w:ascii="Arial" w:cs="Arial" w:eastAsia="Arial" w:hAnsi="Arial"/>
          <w:sz w:val="22"/>
          <w:szCs w:val="22"/>
          <w:color w:val="010000"/>
        </w:rPr>
        <w:t>9.8</w:t>
      </w:r>
      <w:r>
        <w:rPr>
          <w:sz w:val="20"/>
          <w:szCs w:val="20"/>
          <w:color w:val="auto"/>
        </w:rPr>
        <w:tab/>
      </w:r>
      <w:r>
        <w:rPr>
          <w:rFonts w:ascii="Arial" w:cs="Arial" w:eastAsia="Arial" w:hAnsi="Arial"/>
          <w:sz w:val="22"/>
          <w:szCs w:val="22"/>
          <w:color w:val="auto"/>
        </w:rPr>
        <w:t>SHL may charge Customer an annual interest rate at [***] above the [***] for invoices that remain unpaid after tine due date.</w:t>
      </w:r>
    </w:p>
    <w:p>
      <w:pPr>
        <w:spacing w:after="0" w:line="174" w:lineRule="exact"/>
        <w:rPr>
          <w:sz w:val="20"/>
          <w:szCs w:val="20"/>
          <w:color w:val="auto"/>
        </w:rPr>
      </w:pPr>
    </w:p>
    <w:p>
      <w:pPr>
        <w:jc w:val="both"/>
        <w:ind w:left="980" w:hanging="647"/>
        <w:spacing w:after="0" w:line="306" w:lineRule="auto"/>
        <w:tabs>
          <w:tab w:leader="none" w:pos="960" w:val="left"/>
        </w:tabs>
        <w:rPr>
          <w:sz w:val="20"/>
          <w:szCs w:val="20"/>
          <w:color w:val="auto"/>
        </w:rPr>
      </w:pPr>
      <w:r>
        <w:rPr>
          <w:rFonts w:ascii="Arial" w:cs="Arial" w:eastAsia="Arial" w:hAnsi="Arial"/>
          <w:sz w:val="22"/>
          <w:szCs w:val="22"/>
          <w:color w:val="010000"/>
        </w:rPr>
        <w:t>9.9</w:t>
      </w:r>
      <w:r>
        <w:rPr>
          <w:sz w:val="20"/>
          <w:szCs w:val="20"/>
          <w:color w:val="auto"/>
        </w:rPr>
        <w:tab/>
      </w:r>
      <w:r>
        <w:rPr>
          <w:rFonts w:ascii="Arial" w:cs="Arial" w:eastAsia="Arial" w:hAnsi="Arial"/>
          <w:sz w:val="19"/>
          <w:szCs w:val="19"/>
          <w:color w:val="auto"/>
        </w:rPr>
        <w:t>If any invoice is not paid by Customer in accordance with the provisions of Article 9, SI IL may, at its discretion: (i) suspend the performance of the Services until the invoice is settled, provided that in such case, SHL will not be held responsible for any delay caused by such suspension; and (ii) exercise its right of lien or retention on any Deliverable that is still in SHL’s possession, including Deliverables ordered by Customer and manufactured by SHL pursuant to any Purchase Order issued in accordance with Section 5.2, whether the unpaid invoice relates to such Deliverables or such Purchase Order or is unrelated to them. SHL’s remedies under this section shall cease to be effective upon receipt by SHL of Customer’s payment in full of all amounts that remain due under this Agreement.</w:t>
      </w:r>
    </w:p>
    <w:p>
      <w:pPr>
        <w:spacing w:after="0" w:line="151"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22"/>
          <w:szCs w:val="22"/>
          <w:b w:val="1"/>
          <w:bCs w:val="1"/>
          <w:color w:val="010000"/>
        </w:rPr>
      </w:pPr>
      <w:r>
        <w:rPr>
          <w:rFonts w:ascii="Arial" w:cs="Arial" w:eastAsia="Arial" w:hAnsi="Arial"/>
          <w:sz w:val="22"/>
          <w:szCs w:val="22"/>
          <w:b w:val="1"/>
          <w:bCs w:val="1"/>
          <w:color w:val="auto"/>
        </w:rPr>
        <w:t>CONFIDENTIAL INFORMATION</w:t>
      </w:r>
    </w:p>
    <w:p>
      <w:pPr>
        <w:spacing w:after="0" w:line="239" w:lineRule="exact"/>
        <w:rPr>
          <w:rFonts w:ascii="Arial" w:cs="Arial" w:eastAsia="Arial" w:hAnsi="Arial"/>
          <w:sz w:val="22"/>
          <w:szCs w:val="22"/>
          <w:b w:val="1"/>
          <w:bCs w:val="1"/>
          <w:color w:val="010000"/>
        </w:rPr>
      </w:pPr>
    </w:p>
    <w:p>
      <w:pPr>
        <w:ind w:left="980" w:hanging="648"/>
        <w:spacing w:after="0" w:line="273" w:lineRule="auto"/>
        <w:rPr>
          <w:rFonts w:ascii="Arial" w:cs="Arial" w:eastAsia="Arial" w:hAnsi="Arial"/>
          <w:sz w:val="22"/>
          <w:szCs w:val="22"/>
          <w:b w:val="1"/>
          <w:bCs w:val="1"/>
          <w:color w:val="010000"/>
        </w:rPr>
      </w:pPr>
      <w:r>
        <w:rPr>
          <w:rFonts w:ascii="Arial" w:cs="Arial" w:eastAsia="Arial" w:hAnsi="Arial"/>
          <w:sz w:val="21"/>
          <w:szCs w:val="21"/>
          <w:color w:val="010000"/>
        </w:rPr>
        <w:t xml:space="preserve">10.1 </w:t>
      </w:r>
      <w:r>
        <w:rPr>
          <w:rFonts w:ascii="Arial" w:cs="Arial" w:eastAsia="Arial" w:hAnsi="Arial"/>
          <w:sz w:val="21"/>
          <w:szCs w:val="21"/>
          <w:color w:val="000000"/>
        </w:rPr>
        <w:t>During the Term, each Party (the “Disclosing Party”) may disclose lo the other Party (the “Receiving Party”)</w:t>
      </w:r>
      <w:r>
        <w:rPr>
          <w:rFonts w:ascii="Arial" w:cs="Arial" w:eastAsia="Arial" w:hAnsi="Arial"/>
          <w:sz w:val="21"/>
          <w:szCs w:val="21"/>
          <w:color w:val="010000"/>
        </w:rPr>
        <w:t xml:space="preserve"> </w:t>
      </w:r>
      <w:r>
        <w:rPr>
          <w:rFonts w:ascii="Arial" w:cs="Arial" w:eastAsia="Arial" w:hAnsi="Arial"/>
          <w:sz w:val="21"/>
          <w:szCs w:val="21"/>
          <w:color w:val="000000"/>
        </w:rPr>
        <w:t>Confidential Information. Confidential Information does not include information that (a) at the time of disclosure is published, known publicly, or is otherwise in the public domain, (b) is, at the rime of disclosure or later, becomes publicly known under circumstances involving no breach of this Agreement, (c) is, as evidenced by the Receiving Party’s written records, lawfully and in good faith made available to the Receiving Party by a thud party that did not (directly or indirectly) derive it from, or develop it for, the Disclosing Party, or (d) is, as evidenced by the Receiving Party’s written records, independently developed by the Receiving Party without the aid, use, or application of any of the Disclosing Party Confidential Information.</w:t>
      </w:r>
    </w:p>
    <w:p>
      <w:pPr>
        <w:spacing w:after="0" w:line="179" w:lineRule="exact"/>
        <w:rPr>
          <w:rFonts w:ascii="Arial" w:cs="Arial" w:eastAsia="Arial" w:hAnsi="Arial"/>
          <w:sz w:val="22"/>
          <w:szCs w:val="22"/>
          <w:b w:val="1"/>
          <w:bCs w:val="1"/>
          <w:color w:val="010000"/>
        </w:rPr>
      </w:pPr>
    </w:p>
    <w:p>
      <w:pPr>
        <w:ind w:left="980" w:hanging="648"/>
        <w:spacing w:after="0" w:line="271" w:lineRule="auto"/>
        <w:rPr>
          <w:rFonts w:ascii="Arial" w:cs="Arial" w:eastAsia="Arial" w:hAnsi="Arial"/>
          <w:sz w:val="22"/>
          <w:szCs w:val="22"/>
          <w:b w:val="1"/>
          <w:bCs w:val="1"/>
          <w:color w:val="010000"/>
        </w:rPr>
      </w:pPr>
      <w:r>
        <w:rPr>
          <w:rFonts w:ascii="Arial" w:cs="Arial" w:eastAsia="Arial" w:hAnsi="Arial"/>
          <w:sz w:val="21"/>
          <w:szCs w:val="21"/>
          <w:color w:val="010000"/>
        </w:rPr>
        <w:t xml:space="preserve">10.2 </w:t>
      </w:r>
      <w:r>
        <w:rPr>
          <w:rFonts w:ascii="Arial" w:cs="Arial" w:eastAsia="Arial" w:hAnsi="Arial"/>
          <w:sz w:val="21"/>
          <w:szCs w:val="21"/>
          <w:color w:val="000000"/>
        </w:rPr>
        <w:t>The Receiving Party (i) shall not disclose the Disclosing Party’s Confidential Information to any third party without first</w:t>
      </w:r>
      <w:r>
        <w:rPr>
          <w:rFonts w:ascii="Arial" w:cs="Arial" w:eastAsia="Arial" w:hAnsi="Arial"/>
          <w:sz w:val="21"/>
          <w:szCs w:val="21"/>
          <w:color w:val="010000"/>
        </w:rPr>
        <w:t xml:space="preserve"> </w:t>
      </w:r>
      <w:r>
        <w:rPr>
          <w:rFonts w:ascii="Arial" w:cs="Arial" w:eastAsia="Arial" w:hAnsi="Arial"/>
          <w:sz w:val="21"/>
          <w:szCs w:val="21"/>
          <w:color w:val="000000"/>
        </w:rPr>
        <w:t>obtaining the express written permission of the Disclosing Party; (ii) shall use the Disclosing Party’s Confidential Information only as is necessary to fulfill its obligations pursuant to this Agreement, (iii) shah not reverse engineer or decompile any item containing Confidential Information, and (iv) except as expressly stated above, shall limit such disclosure to its officers, employees, consultants, advisors, and approved subcontractors that arc bound by confidentiality and non-use provisions at least as restrictive as those found herein on a need-to-know basis for purposes of fulfilling its obligations hereunder. In addition, the Parties shall not disclose the existence of this Agreement or its terms to any third party without prior written consent of the other Party, which shall not be unreasonably withheld. The obligations of confidentiality and non-use set forth herein shall remain in effect for a period of [***] after the termination or expiration of this Agreement. Notwithstanding the foregoing, with respect to any trade secret information within the Confidential Information, the confidentiality obligations hereunder shall continue for so long as such information remains a trade secret.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6" w:right="239" w:bottom="1440" w:gutter="0" w:footer="0" w:header="0"/>
        </w:sectPr>
      </w:pPr>
    </w:p>
    <w:bookmarkStart w:id="83" w:name="page84"/>
    <w:bookmarkEnd w:id="83"/>
    <w:p>
      <w:pPr>
        <w:ind w:left="220" w:right="220" w:firstLine="279"/>
        <w:spacing w:after="0" w:line="281" w:lineRule="auto"/>
        <w:tabs>
          <w:tab w:leader="none" w:pos="973"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272" w:lineRule="auto"/>
        <w:tabs>
          <w:tab w:leader="none" w:pos="960" w:val="left"/>
        </w:tabs>
        <w:rPr>
          <w:sz w:val="20"/>
          <w:szCs w:val="20"/>
          <w:color w:val="auto"/>
        </w:rPr>
      </w:pPr>
      <w:r>
        <w:rPr>
          <w:rFonts w:ascii="Arial" w:cs="Arial" w:eastAsia="Arial" w:hAnsi="Arial"/>
          <w:sz w:val="22"/>
          <w:szCs w:val="22"/>
          <w:color w:val="010000"/>
        </w:rPr>
        <w:t>10.3</w:t>
      </w:r>
      <w:r>
        <w:rPr>
          <w:sz w:val="20"/>
          <w:szCs w:val="20"/>
          <w:color w:val="auto"/>
        </w:rPr>
        <w:tab/>
      </w:r>
      <w:r>
        <w:rPr>
          <w:rFonts w:ascii="Arial" w:cs="Arial" w:eastAsia="Arial" w:hAnsi="Arial"/>
          <w:sz w:val="21"/>
          <w:szCs w:val="21"/>
          <w:color w:val="auto"/>
        </w:rPr>
        <w:t>Prior to the approved disclosure of the Disclosing Party’s Confidential Information to a third party, the Receiving Party shall obtain from any such third party a legally enforceable written agreement not to disclose the Disclosing Party’s Confidential Information, or knowledge or Know-How derived therefrom, to any third party or use such Confidential Information for any purposes other than those contemplated by this Agreement Both Parties shall take commercially reasonable efforts to protect the other Party’s Confidential Information from disclosure or misappropriation (but in no event shall such Party use less than a reasonable degree of care) and shall be responsible for entering into written confidentiality agreements with any third parties that are no less restrictive than the provisions of this Agreement and for enforcing such agreements. Upon request, each Party shall provide to the other evidence of any confidentiality agreement it required to he executed by a third party.</w:t>
      </w:r>
    </w:p>
    <w:p>
      <w:pPr>
        <w:spacing w:after="0" w:line="184"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10.4</w:t>
      </w:r>
      <w:r>
        <w:rPr>
          <w:rFonts w:ascii="Arial" w:cs="Arial" w:eastAsia="Arial" w:hAnsi="Arial"/>
          <w:sz w:val="22"/>
          <w:szCs w:val="22"/>
          <w:color w:val="auto"/>
        </w:rPr>
        <w:tab/>
        <w:t>The existence of this Agreement, each of its terms and conditions, and all information required to be provided from one Party to another under the terms and conditions of this Agreement shall be deemed Confidential Information that is subject to the non-disclosure provisions of Article 10.</w:t>
      </w:r>
    </w:p>
    <w:p>
      <w:pPr>
        <w:spacing w:after="0" w:line="185" w:lineRule="exact"/>
        <w:rPr>
          <w:sz w:val="20"/>
          <w:szCs w:val="20"/>
          <w:color w:val="auto"/>
        </w:rPr>
      </w:pPr>
    </w:p>
    <w:p>
      <w:pPr>
        <w:jc w:val="both"/>
        <w:ind w:left="980" w:hanging="647"/>
        <w:spacing w:after="0" w:line="261" w:lineRule="auto"/>
        <w:tabs>
          <w:tab w:leader="none" w:pos="960" w:val="left"/>
        </w:tabs>
        <w:rPr>
          <w:sz w:val="20"/>
          <w:szCs w:val="20"/>
          <w:color w:val="auto"/>
        </w:rPr>
      </w:pPr>
      <w:r>
        <w:rPr>
          <w:rFonts w:ascii="Arial" w:cs="Arial" w:eastAsia="Arial" w:hAnsi="Arial"/>
          <w:sz w:val="22"/>
          <w:szCs w:val="22"/>
          <w:color w:val="010000"/>
        </w:rPr>
        <w:t>10.5</w:t>
      </w:r>
      <w:r>
        <w:rPr>
          <w:rFonts w:ascii="Arial" w:cs="Arial" w:eastAsia="Arial" w:hAnsi="Arial"/>
          <w:sz w:val="22"/>
          <w:szCs w:val="22"/>
          <w:color w:val="auto"/>
        </w:rPr>
        <w:tab/>
        <w:t>THE PARTIES ACKNOWLEDGE THAT EACH OF THEIR CONFIDENTIAL INFORM A HON IS PROVIDED TO THE OTHER ON AN “AS IS” BASIS. NEITHER PARTY MAKES WARRANTIES OF ANY KIND, EITHER EXPRESS OR IMPLIED, WITH RESPECT TO THE. OTHER’S CONFIDENTIAL INFORMATION AND EXPRESSLY DISCLAIMS ALL IMPLIED WARRANTIES, INCLUDING WITHOUT LIMITATION, WARRANTIES OF MERCHANTABILITY AND FITNESS FOR A PARTICULAR PURPOSE.</w:t>
      </w:r>
    </w:p>
    <w:p>
      <w:pPr>
        <w:spacing w:after="0" w:line="191"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10.6</w:t>
      </w:r>
      <w:r>
        <w:rPr>
          <w:sz w:val="20"/>
          <w:szCs w:val="20"/>
          <w:color w:val="auto"/>
        </w:rPr>
        <w:tab/>
      </w:r>
      <w:r>
        <w:rPr>
          <w:rFonts w:ascii="Arial" w:cs="Arial" w:eastAsia="Arial" w:hAnsi="Arial"/>
          <w:sz w:val="21"/>
          <w:szCs w:val="21"/>
          <w:color w:val="auto"/>
        </w:rPr>
        <w:t>The confidentiality obligations of the Receiving Party under this Article 10 shall not apply solely to the extent that any information is required to be publicly disclosed pursuant to a governmental, securities or judicial requirement, or other requirement of law, but only after notifying the Disclosing Party of such requirement, if legally permitted, and, if requested by the Disclosing Party, using reasonable efforts to minimize such disclosure and to obtain confidential treatment for all or relevant portions of the Confidential Information to he disclosed.</w:t>
      </w:r>
    </w:p>
    <w:p>
      <w:pPr>
        <w:spacing w:after="0" w:line="178" w:lineRule="exact"/>
        <w:rPr>
          <w:sz w:val="20"/>
          <w:szCs w:val="20"/>
          <w:color w:val="auto"/>
        </w:rPr>
      </w:pPr>
    </w:p>
    <w:p>
      <w:pPr>
        <w:jc w:val="both"/>
        <w:ind w:left="980" w:hanging="647"/>
        <w:spacing w:after="0" w:line="279" w:lineRule="auto"/>
        <w:tabs>
          <w:tab w:leader="none" w:pos="960" w:val="left"/>
        </w:tabs>
        <w:rPr>
          <w:sz w:val="20"/>
          <w:szCs w:val="20"/>
          <w:color w:val="auto"/>
        </w:rPr>
      </w:pPr>
      <w:r>
        <w:rPr>
          <w:rFonts w:ascii="Arial" w:cs="Arial" w:eastAsia="Arial" w:hAnsi="Arial"/>
          <w:sz w:val="22"/>
          <w:szCs w:val="22"/>
          <w:color w:val="010000"/>
        </w:rPr>
        <w:t>10.7</w:t>
      </w:r>
      <w:r>
        <w:rPr>
          <w:sz w:val="20"/>
          <w:szCs w:val="20"/>
          <w:color w:val="auto"/>
        </w:rPr>
        <w:tab/>
      </w:r>
      <w:r>
        <w:rPr>
          <w:rFonts w:ascii="Arial" w:cs="Arial" w:eastAsia="Arial" w:hAnsi="Arial"/>
          <w:sz w:val="21"/>
          <w:szCs w:val="21"/>
          <w:color w:val="auto"/>
        </w:rPr>
        <w:t>Subject to any license rights granted hereunder, upon request of a Party, and in any case upon expiration or termination of this Agreement, each Party shall promptly delete and or destroy any electronic or magnetic copies and return to the other Parties all tangible copies of the other Party’s Confidential Information. Each Party shall confirm in writing to the other Party that Confidential Information has been deleted or destroyed.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6" w:right="239" w:bottom="1440" w:gutter="0" w:footer="0" w:header="0"/>
        </w:sectPr>
      </w:pPr>
    </w:p>
    <w:bookmarkStart w:id="84" w:name="page85"/>
    <w:bookmarkEnd w:id="84"/>
    <w:p>
      <w:pPr>
        <w:ind w:left="220" w:right="220" w:firstLine="279"/>
        <w:spacing w:after="0" w:line="281" w:lineRule="auto"/>
        <w:tabs>
          <w:tab w:leader="none" w:pos="973" w:val="left"/>
        </w:tabs>
        <w:numPr>
          <w:ilvl w:val="0"/>
          <w:numId w:val="72"/>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10.8</w:t>
      </w:r>
      <w:r>
        <w:rPr>
          <w:rFonts w:ascii="Arial" w:cs="Arial" w:eastAsia="Arial" w:hAnsi="Arial"/>
          <w:sz w:val="22"/>
          <w:szCs w:val="22"/>
          <w:color w:val="auto"/>
        </w:rPr>
        <w:tab/>
        <w:t>The Parties hereto acknowledge and agree that a breach of this Article 10 could give rise to irreparable harm for which money damages would not be an adequate remedy and accordingly the Parties agree that, in addition to any other remedies, each Party shall be entitled to obtain preliminary or injunctive relief and to enforce the terms of this Article 10 by a decree of specific performance.</w:t>
      </w:r>
    </w:p>
    <w:p>
      <w:pPr>
        <w:spacing w:after="0" w:line="18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2"/>
          <w:szCs w:val="22"/>
          <w:b w:val="1"/>
          <w:bCs w:val="1"/>
          <w:color w:val="010000"/>
        </w:rPr>
      </w:pPr>
      <w:r>
        <w:rPr>
          <w:rFonts w:ascii="Arial" w:cs="Arial" w:eastAsia="Arial" w:hAnsi="Arial"/>
          <w:sz w:val="22"/>
          <w:szCs w:val="22"/>
          <w:b w:val="1"/>
          <w:bCs w:val="1"/>
          <w:color w:val="auto"/>
        </w:rPr>
        <w:t>INSURANCE</w:t>
      </w:r>
    </w:p>
    <w:p>
      <w:pPr>
        <w:spacing w:after="0" w:line="239" w:lineRule="exact"/>
        <w:rPr>
          <w:rFonts w:ascii="Arial" w:cs="Arial" w:eastAsia="Arial" w:hAnsi="Arial"/>
          <w:sz w:val="22"/>
          <w:szCs w:val="22"/>
          <w:b w:val="1"/>
          <w:bCs w:val="1"/>
          <w:color w:val="010000"/>
        </w:rPr>
      </w:pPr>
    </w:p>
    <w:p>
      <w:pPr>
        <w:jc w:val="both"/>
        <w:ind w:left="340"/>
        <w:spacing w:after="0" w:line="263" w:lineRule="auto"/>
        <w:rPr>
          <w:rFonts w:ascii="Arial" w:cs="Arial" w:eastAsia="Arial" w:hAnsi="Arial"/>
          <w:sz w:val="22"/>
          <w:szCs w:val="22"/>
          <w:b w:val="1"/>
          <w:bCs w:val="1"/>
          <w:color w:val="010000"/>
        </w:rPr>
      </w:pPr>
      <w:r>
        <w:rPr>
          <w:rFonts w:ascii="Arial" w:cs="Arial" w:eastAsia="Arial" w:hAnsi="Arial"/>
          <w:sz w:val="22"/>
          <w:szCs w:val="22"/>
          <w:color w:val="auto"/>
        </w:rPr>
        <w:t>Each Party shall maintain during the Term of the Agreement, at its own cost, general commercial insurance as well as any other insurance, excluding contractual liability insurance, which may be required by local regulations or by the scope and nature of Services being provided. SHL shall secure property insurance for The Facility in Deerfield Beach, Florida with coverage for individual damage up to [***].</w:t>
      </w:r>
    </w:p>
    <w:p>
      <w:pPr>
        <w:spacing w:after="0" w:line="181" w:lineRule="exact"/>
        <w:rPr>
          <w:rFonts w:ascii="Arial" w:cs="Arial" w:eastAsia="Arial" w:hAnsi="Arial"/>
          <w:sz w:val="22"/>
          <w:szCs w:val="22"/>
          <w:b w:val="1"/>
          <w:bCs w:val="1"/>
          <w:color w:val="010000"/>
        </w:rPr>
      </w:pPr>
    </w:p>
    <w:p>
      <w:pPr>
        <w:ind w:left="340" w:hanging="332"/>
        <w:spacing w:after="0"/>
        <w:tabs>
          <w:tab w:leader="none" w:pos="340" w:val="left"/>
        </w:tabs>
        <w:numPr>
          <w:ilvl w:val="0"/>
          <w:numId w:val="73"/>
        </w:numPr>
        <w:rPr>
          <w:rFonts w:ascii="Arial" w:cs="Arial" w:eastAsia="Arial" w:hAnsi="Arial"/>
          <w:sz w:val="22"/>
          <w:szCs w:val="22"/>
          <w:b w:val="1"/>
          <w:bCs w:val="1"/>
          <w:color w:val="010000"/>
        </w:rPr>
      </w:pPr>
      <w:r>
        <w:rPr>
          <w:rFonts w:ascii="Arial" w:cs="Arial" w:eastAsia="Arial" w:hAnsi="Arial"/>
          <w:sz w:val="22"/>
          <w:szCs w:val="22"/>
          <w:b w:val="1"/>
          <w:bCs w:val="1"/>
          <w:color w:val="auto"/>
        </w:rPr>
        <w:t>INTELLECTUAL PROPERTY RIGHTS</w:t>
      </w:r>
    </w:p>
    <w:p>
      <w:pPr>
        <w:spacing w:after="0" w:line="239" w:lineRule="exact"/>
        <w:rPr>
          <w:rFonts w:ascii="Arial" w:cs="Arial" w:eastAsia="Arial" w:hAnsi="Arial"/>
          <w:sz w:val="22"/>
          <w:szCs w:val="22"/>
          <w:b w:val="1"/>
          <w:bCs w:val="1"/>
          <w:color w:val="010000"/>
        </w:rPr>
      </w:pPr>
    </w:p>
    <w:p>
      <w:pPr>
        <w:ind w:left="980" w:hanging="648"/>
        <w:spacing w:after="0" w:line="312" w:lineRule="auto"/>
        <w:rPr>
          <w:rFonts w:ascii="Arial" w:cs="Arial" w:eastAsia="Arial" w:hAnsi="Arial"/>
          <w:sz w:val="22"/>
          <w:szCs w:val="22"/>
          <w:b w:val="1"/>
          <w:bCs w:val="1"/>
          <w:color w:val="010000"/>
        </w:rPr>
      </w:pPr>
      <w:r>
        <w:rPr>
          <w:rFonts w:ascii="Arial" w:cs="Arial" w:eastAsia="Arial" w:hAnsi="Arial"/>
          <w:sz w:val="19"/>
          <w:szCs w:val="19"/>
          <w:color w:val="010000"/>
        </w:rPr>
        <w:t xml:space="preserve">12.1 </w:t>
      </w:r>
      <w:r>
        <w:rPr>
          <w:rFonts w:ascii="Arial" w:cs="Arial" w:eastAsia="Arial" w:hAnsi="Arial"/>
          <w:sz w:val="19"/>
          <w:szCs w:val="19"/>
          <w:color w:val="000000"/>
        </w:rPr>
        <w:t>Background Intellectual Property: It is recognized and understood that the existing Background Intellectual Property of</w:t>
      </w:r>
      <w:r>
        <w:rPr>
          <w:rFonts w:ascii="Arial" w:cs="Arial" w:eastAsia="Arial" w:hAnsi="Arial"/>
          <w:sz w:val="19"/>
          <w:szCs w:val="19"/>
          <w:color w:val="010000"/>
        </w:rPr>
        <w:t xml:space="preserve"> </w:t>
      </w:r>
      <w:r>
        <w:rPr>
          <w:rFonts w:ascii="Arial" w:cs="Arial" w:eastAsia="Arial" w:hAnsi="Arial"/>
          <w:sz w:val="19"/>
          <w:szCs w:val="19"/>
          <w:color w:val="000000"/>
        </w:rPr>
        <w:t>either Party are their separate property, respectively, and ownership of such existing Background Intellectual Property is not affected by this Agreement, and neither Party shall have any claims to, or rights in, such Background Intellectual Property of the other Party. It is expressly agreed that neither Party transfers by operation of this Agreement to the other Parry any interest in Background Intellectual Property other than expressly granted herein.</w:t>
      </w:r>
    </w:p>
    <w:p>
      <w:pPr>
        <w:spacing w:after="0" w:line="146" w:lineRule="exact"/>
        <w:rPr>
          <w:rFonts w:ascii="Arial" w:cs="Arial" w:eastAsia="Arial" w:hAnsi="Arial"/>
          <w:sz w:val="22"/>
          <w:szCs w:val="22"/>
          <w:b w:val="1"/>
          <w:bCs w:val="1"/>
          <w:color w:val="010000"/>
        </w:rPr>
      </w:pPr>
    </w:p>
    <w:p>
      <w:pPr>
        <w:ind w:left="980" w:hanging="648"/>
        <w:spacing w:after="0" w:line="301" w:lineRule="auto"/>
        <w:rPr>
          <w:rFonts w:ascii="Arial" w:cs="Arial" w:eastAsia="Arial" w:hAnsi="Arial"/>
          <w:sz w:val="22"/>
          <w:szCs w:val="22"/>
          <w:b w:val="1"/>
          <w:bCs w:val="1"/>
          <w:color w:val="010000"/>
        </w:rPr>
      </w:pPr>
      <w:r>
        <w:rPr>
          <w:rFonts w:ascii="Arial" w:cs="Arial" w:eastAsia="Arial" w:hAnsi="Arial"/>
          <w:sz w:val="19"/>
          <w:szCs w:val="19"/>
          <w:color w:val="010000"/>
        </w:rPr>
        <w:t xml:space="preserve">12.2 </w:t>
      </w:r>
      <w:r>
        <w:rPr>
          <w:rFonts w:ascii="Arial" w:cs="Arial" w:eastAsia="Arial" w:hAnsi="Arial"/>
          <w:sz w:val="19"/>
          <w:szCs w:val="19"/>
          <w:color w:val="000000"/>
        </w:rPr>
        <w:t>Foreground Intellectual Properly: The Parties acknowledge and agree that, in connection with the Device, no Intellectual</w:t>
      </w:r>
      <w:r>
        <w:rPr>
          <w:rFonts w:ascii="Arial" w:cs="Arial" w:eastAsia="Arial" w:hAnsi="Arial"/>
          <w:sz w:val="19"/>
          <w:szCs w:val="19"/>
          <w:color w:val="010000"/>
        </w:rPr>
        <w:t xml:space="preserve"> </w:t>
      </w:r>
      <w:r>
        <w:rPr>
          <w:rFonts w:ascii="Arial" w:cs="Arial" w:eastAsia="Arial" w:hAnsi="Arial"/>
          <w:sz w:val="19"/>
          <w:szCs w:val="19"/>
          <w:color w:val="000000"/>
        </w:rPr>
        <w:t>Property has been jointly created or shall be jointly-owned by the Parties. As between the Parties, SHL shall own all Foreground Intellectual Property embodied in or related to the Device, including Intellectual Properly embodied in Device molds and tooling fabricated for Customer in support of the Device. SHL shall also own without limitation the right to sue and collect damages for past present and future infringement or misappropriation of all Intellectual Property rights embodied in or related to the Device. Customer shall promptly disclose to SHL on a confidential basis any invention or discovery concerning any aspects of the Device conceived, or conceived and reduced to practice, in the performance of the Services under this Agreement. Customer shall require its employees and/or, its agents perforating under this Agreement to promptly report and assign such Intellectual Property to SHL. Upon receipt of a written request delivered by SHL, within [***] of the disclosure of such invention as stated under this section, Customer shall execute, without charge to SHL, an irrevocable assignment of all such rights, title and interest in and to such invention lo SHL. Customer further agrees to use its commercially reasonable efforts to assist SHL, at SHL’s request, cost and expense, to file patent, prosecute and maintain applications and patents on such invention. Nothing in this Agreement gives Customer or its Affiliates the right to file for patent protection or other similar governmental rights</w:t>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6" w:right="239" w:bottom="1440" w:gutter="0" w:footer="0" w:header="0"/>
        </w:sectPr>
      </w:pPr>
    </w:p>
    <w:bookmarkStart w:id="85" w:name="page86"/>
    <w:bookmarkEnd w:id="85"/>
    <w:p>
      <w:pPr>
        <w:ind w:left="220" w:right="220" w:firstLine="279"/>
        <w:spacing w:after="0" w:line="281" w:lineRule="auto"/>
        <w:tabs>
          <w:tab w:leader="none" w:pos="973"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line="276" w:lineRule="auto"/>
        <w:rPr>
          <w:sz w:val="20"/>
          <w:szCs w:val="20"/>
          <w:color w:val="auto"/>
        </w:rPr>
      </w:pPr>
      <w:r>
        <w:rPr>
          <w:rFonts w:ascii="Arial" w:cs="Arial" w:eastAsia="Arial" w:hAnsi="Arial"/>
          <w:sz w:val="22"/>
          <w:szCs w:val="22"/>
          <w:color w:val="auto"/>
        </w:rPr>
        <w:t>(including but not limited to Reference Listed Drug filings such as the FDA’s Orange and Purple Books) claiming any invention encompassing, utilizing, or disclosing any SHL Materials.</w:t>
      </w:r>
    </w:p>
    <w:p>
      <w:pPr>
        <w:spacing w:after="0" w:line="174" w:lineRule="exact"/>
        <w:rPr>
          <w:sz w:val="20"/>
          <w:szCs w:val="20"/>
          <w:color w:val="auto"/>
        </w:rPr>
      </w:pPr>
    </w:p>
    <w:p>
      <w:pPr>
        <w:jc w:val="both"/>
        <w:ind w:left="980" w:hanging="647"/>
        <w:spacing w:after="0" w:line="301" w:lineRule="auto"/>
        <w:tabs>
          <w:tab w:leader="none" w:pos="960" w:val="left"/>
        </w:tabs>
        <w:rPr>
          <w:sz w:val="20"/>
          <w:szCs w:val="20"/>
          <w:color w:val="auto"/>
        </w:rPr>
      </w:pPr>
      <w:r>
        <w:rPr>
          <w:rFonts w:ascii="Arial" w:cs="Arial" w:eastAsia="Arial" w:hAnsi="Arial"/>
          <w:sz w:val="22"/>
          <w:szCs w:val="22"/>
          <w:color w:val="010000"/>
        </w:rPr>
        <w:t>12.3</w:t>
      </w:r>
      <w:r>
        <w:rPr>
          <w:sz w:val="20"/>
          <w:szCs w:val="20"/>
          <w:color w:val="auto"/>
        </w:rPr>
        <w:tab/>
      </w:r>
      <w:r>
        <w:rPr>
          <w:rFonts w:ascii="Arial" w:cs="Arial" w:eastAsia="Arial" w:hAnsi="Arial"/>
          <w:sz w:val="19"/>
          <w:szCs w:val="19"/>
          <w:color w:val="auto"/>
        </w:rPr>
        <w:t>Customer Materials: Customer shall own all Foreground Intellectual Property embodied in or related to the Customer Materials, including but not limited to any forms or formulations of the Drug Product, methods of using the Drug Product, dosage regimens, treatments employing the Drug Product, or improvements to the Drug Product, and any improvements in or to any of the preceding. Subject to Section 12.2 above, Customer may pursue patent or other legal protection of its Intellectual Property at its discretion. SHL shall promptly disclose to Customer on a confidential basis any invention or discovery directly related to the Customer Materials, including the Drug Product conceived, or conceived and reduced to practice, in the performance of the Services under this Agreement. SHL shall require its employees and/or, its agents performing under this Agreement to promptly report and assign such Intellectual Property to Customer. Upon receipt of a written request delivered by Customer, within [***] of the disclosure of such invention as stated under this section, SHL shall execute, without charge to Customer, an irrevocable assignment to Customer of all such rights, title and interest in and to such invention. SHL further agrees to use its reasonable efforts to assist Customer, at Customer’s request, cost and expense, to file patent, prosecute and maintain applications and patents on such invention. Nothing in this Agreement gives SHL or its Affiliates the right to file for patent protection or other similar governmental rights (including, but not limited to, Reference Listed Drug filings such as the FDA’s Orange and Purple Books) claiming any invention encompassing, utilizing or disclosing any Customer Materials.</w:t>
      </w:r>
    </w:p>
    <w:p>
      <w:pPr>
        <w:spacing w:after="0" w:line="157"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12.4</w:t>
      </w:r>
      <w:r>
        <w:rPr>
          <w:sz w:val="20"/>
          <w:szCs w:val="20"/>
          <w:color w:val="auto"/>
        </w:rPr>
        <w:tab/>
      </w:r>
      <w:r>
        <w:rPr>
          <w:rFonts w:ascii="Arial" w:cs="Arial" w:eastAsia="Arial" w:hAnsi="Arial"/>
          <w:sz w:val="19"/>
          <w:szCs w:val="19"/>
          <w:color w:val="auto"/>
        </w:rPr>
        <w:t>Industrial Design</w:t>
      </w:r>
    </w:p>
    <w:p>
      <w:pPr>
        <w:spacing w:after="0" w:line="233" w:lineRule="exact"/>
        <w:rPr>
          <w:sz w:val="20"/>
          <w:szCs w:val="20"/>
          <w:color w:val="auto"/>
        </w:rPr>
      </w:pPr>
    </w:p>
    <w:p>
      <w:pPr>
        <w:jc w:val="both"/>
        <w:ind w:left="1300" w:hanging="647"/>
        <w:spacing w:after="0" w:line="317" w:lineRule="auto"/>
        <w:rPr>
          <w:sz w:val="20"/>
          <w:szCs w:val="20"/>
          <w:color w:val="auto"/>
        </w:rPr>
      </w:pPr>
      <w:r>
        <w:rPr>
          <w:rFonts w:ascii="Arial" w:cs="Arial" w:eastAsia="Arial" w:hAnsi="Arial"/>
          <w:sz w:val="19"/>
          <w:szCs w:val="19"/>
          <w:color w:val="010000"/>
        </w:rPr>
        <w:t xml:space="preserve">12.4.1 </w:t>
      </w:r>
      <w:r>
        <w:rPr>
          <w:rFonts w:ascii="Arial" w:cs="Arial" w:eastAsia="Arial" w:hAnsi="Arial"/>
          <w:sz w:val="19"/>
          <w:szCs w:val="19"/>
          <w:color w:val="000000"/>
        </w:rPr>
        <w:t>Customer does not request the creation of a specific industrial design for the Device. The Parties acknowledge that</w:t>
      </w:r>
      <w:r>
        <w:rPr>
          <w:rFonts w:ascii="Arial" w:cs="Arial" w:eastAsia="Arial" w:hAnsi="Arial"/>
          <w:sz w:val="19"/>
          <w:szCs w:val="19"/>
          <w:color w:val="010000"/>
        </w:rPr>
        <w:t xml:space="preserve"> </w:t>
      </w:r>
      <w:r>
        <w:rPr>
          <w:rFonts w:ascii="Arial" w:cs="Arial" w:eastAsia="Arial" w:hAnsi="Arial"/>
          <w:sz w:val="19"/>
          <w:szCs w:val="19"/>
          <w:color w:val="000000"/>
        </w:rPr>
        <w:t>no specific design has been created as part of the Services. The design of the shell and of the cap components of the Device shall he under the current standard industrial design of the Device platform, which has not been specifically created by SHL for Customer. The industrial design shall be part of SHL’s Background intellectual Property.</w:t>
      </w:r>
    </w:p>
    <w:p>
      <w:pPr>
        <w:spacing w:after="0" w:line="142" w:lineRule="exact"/>
        <w:rPr>
          <w:sz w:val="20"/>
          <w:szCs w:val="20"/>
          <w:color w:val="auto"/>
        </w:rPr>
      </w:pPr>
    </w:p>
    <w:p>
      <w:pPr>
        <w:jc w:val="both"/>
        <w:ind w:left="1300" w:hanging="647"/>
        <w:spacing w:after="0" w:line="317" w:lineRule="auto"/>
        <w:rPr>
          <w:sz w:val="20"/>
          <w:szCs w:val="20"/>
          <w:color w:val="auto"/>
        </w:rPr>
      </w:pPr>
      <w:r>
        <w:rPr>
          <w:rFonts w:ascii="Arial" w:cs="Arial" w:eastAsia="Arial" w:hAnsi="Arial"/>
          <w:sz w:val="19"/>
          <w:szCs w:val="19"/>
          <w:color w:val="010000"/>
        </w:rPr>
        <w:t xml:space="preserve">12.4.2 </w:t>
      </w:r>
      <w:r>
        <w:rPr>
          <w:rFonts w:ascii="Arial" w:cs="Arial" w:eastAsia="Arial" w:hAnsi="Arial"/>
          <w:sz w:val="19"/>
          <w:szCs w:val="19"/>
          <w:color w:val="000000"/>
        </w:rPr>
        <w:t>Customer hereby requests the use of Components Colors, as described in Appendix A. SHL agrees that SHL and its</w:t>
      </w:r>
      <w:r>
        <w:rPr>
          <w:rFonts w:ascii="Arial" w:cs="Arial" w:eastAsia="Arial" w:hAnsi="Arial"/>
          <w:sz w:val="19"/>
          <w:szCs w:val="19"/>
          <w:color w:val="010000"/>
        </w:rPr>
        <w:t xml:space="preserve"> </w:t>
      </w:r>
      <w:r>
        <w:rPr>
          <w:rFonts w:ascii="Arial" w:cs="Arial" w:eastAsia="Arial" w:hAnsi="Arial"/>
          <w:sz w:val="19"/>
          <w:szCs w:val="19"/>
          <w:color w:val="000000"/>
        </w:rPr>
        <w:t>Affiliates will not manufacture, have manufactured, provide, or assist any third party to manufacture any device based on the same technology [***] that has components of the same color combination as the Components Colors, when such device is to be used in connection with the Drug Product, in the Field and in the Territory.</w:t>
      </w:r>
    </w:p>
    <w:p>
      <w:pPr>
        <w:spacing w:after="0" w:line="142"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12.5</w:t>
      </w:r>
      <w:r>
        <w:rPr>
          <w:sz w:val="20"/>
          <w:szCs w:val="20"/>
          <w:color w:val="auto"/>
        </w:rPr>
        <w:tab/>
      </w:r>
      <w:r>
        <w:rPr>
          <w:rFonts w:ascii="Arial" w:cs="Arial" w:eastAsia="Arial" w:hAnsi="Arial"/>
          <w:sz w:val="19"/>
          <w:szCs w:val="19"/>
          <w:color w:val="auto"/>
        </w:rPr>
        <w:t>Licenses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6" w:right="239" w:bottom="1440" w:gutter="0" w:footer="0" w:header="0"/>
        </w:sectPr>
      </w:pPr>
    </w:p>
    <w:bookmarkStart w:id="86" w:name="page87"/>
    <w:bookmarkEnd w:id="86"/>
    <w:p>
      <w:pPr>
        <w:ind w:left="220" w:right="220" w:firstLine="279"/>
        <w:spacing w:after="0" w:line="281" w:lineRule="auto"/>
        <w:tabs>
          <w:tab w:leader="none" w:pos="973"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1300" w:hanging="647"/>
        <w:spacing w:after="0" w:line="301" w:lineRule="auto"/>
        <w:rPr>
          <w:sz w:val="20"/>
          <w:szCs w:val="20"/>
          <w:color w:val="auto"/>
        </w:rPr>
      </w:pPr>
      <w:r>
        <w:rPr>
          <w:rFonts w:ascii="Arial" w:cs="Arial" w:eastAsia="Arial" w:hAnsi="Arial"/>
          <w:sz w:val="19"/>
          <w:szCs w:val="19"/>
          <w:color w:val="010000"/>
        </w:rPr>
        <w:t xml:space="preserve">12.5.1 </w:t>
      </w:r>
      <w:r>
        <w:rPr>
          <w:rFonts w:ascii="Arial" w:cs="Arial" w:eastAsia="Arial" w:hAnsi="Arial"/>
          <w:sz w:val="19"/>
          <w:szCs w:val="19"/>
          <w:color w:val="000000"/>
        </w:rPr>
        <w:t>Subject to tine terms and conditions of this Agreement, SHL hereby grants, and causes its Affiliates to grant, to</w:t>
      </w:r>
      <w:r>
        <w:rPr>
          <w:rFonts w:ascii="Arial" w:cs="Arial" w:eastAsia="Arial" w:hAnsi="Arial"/>
          <w:sz w:val="19"/>
          <w:szCs w:val="19"/>
          <w:color w:val="010000"/>
        </w:rPr>
        <w:t xml:space="preserve"> </w:t>
      </w:r>
      <w:r>
        <w:rPr>
          <w:rFonts w:ascii="Arial" w:cs="Arial" w:eastAsia="Arial" w:hAnsi="Arial"/>
          <w:sz w:val="19"/>
          <w:szCs w:val="19"/>
          <w:color w:val="000000"/>
        </w:rPr>
        <w:t>Customer, and Customer hereby accepts, a royalty free, hilly paid-up, non-transferable, non-exclusive license covering the distribution, use, sale, offering for sale, promotion, marketing, exportation, and importation of the Device for the sole purpose of Product in the therapeutic Field and this Agreement. This license shall be exclusive of any right to manufacture the Device This license may not be sub-licensed by Customer to any person or entity except to (i) its Affiliates; (ii) third parties (other than competitors of SHL) but solely for the purpose of providing non-manufacturing services, including but not limited to testing or assembly services, on behalf of Customer or its Affiliates with respect to the Product and solely for the purpose of this Agreement; and (iii) its licensees, customers and distributors of the Drug Product or the Product in the ‘Territory in connection with obtaining and maintaining regulatory approvals, and the distribution, use, selling, offering for sale, promotion, marketing, exportation, and importation of the Devices, by such licensees, customers and distributors of the Drug Product or the Product. Any license granted hereunder shall automatically terminate upon the expiration or termination of this Agreement without need of any further writing between the Parties; provided, however, that Customer may continue to exercise such license to the extent necessary for the sale by Customer of any remaining inventory of Product.</w:t>
      </w:r>
    </w:p>
    <w:p>
      <w:pPr>
        <w:spacing w:after="0" w:line="161" w:lineRule="exact"/>
        <w:rPr>
          <w:sz w:val="20"/>
          <w:szCs w:val="20"/>
          <w:color w:val="auto"/>
        </w:rPr>
      </w:pPr>
    </w:p>
    <w:p>
      <w:pPr>
        <w:jc w:val="both"/>
        <w:ind w:left="1300" w:hanging="647"/>
        <w:spacing w:after="0" w:line="304" w:lineRule="auto"/>
        <w:rPr>
          <w:sz w:val="20"/>
          <w:szCs w:val="20"/>
          <w:color w:val="auto"/>
        </w:rPr>
      </w:pPr>
      <w:r>
        <w:rPr>
          <w:rFonts w:ascii="Arial" w:cs="Arial" w:eastAsia="Arial" w:hAnsi="Arial"/>
          <w:sz w:val="19"/>
          <w:szCs w:val="19"/>
          <w:color w:val="010000"/>
        </w:rPr>
        <w:t xml:space="preserve">12.5.2 </w:t>
      </w:r>
      <w:r>
        <w:rPr>
          <w:rFonts w:ascii="Arial" w:cs="Arial" w:eastAsia="Arial" w:hAnsi="Arial"/>
          <w:sz w:val="19"/>
          <w:szCs w:val="19"/>
          <w:color w:val="000000"/>
        </w:rPr>
        <w:t>Subject to the terms and conditions of this Agreement, Customer hereby grants to SHL, and SHL hereby accepts, a</w:t>
      </w:r>
      <w:r>
        <w:rPr>
          <w:rFonts w:ascii="Arial" w:cs="Arial" w:eastAsia="Arial" w:hAnsi="Arial"/>
          <w:sz w:val="19"/>
          <w:szCs w:val="19"/>
          <w:color w:val="010000"/>
        </w:rPr>
        <w:t xml:space="preserve"> </w:t>
      </w:r>
      <w:r>
        <w:rPr>
          <w:rFonts w:ascii="Arial" w:cs="Arial" w:eastAsia="Arial" w:hAnsi="Arial"/>
          <w:sz w:val="19"/>
          <w:szCs w:val="19"/>
          <w:color w:val="000000"/>
        </w:rPr>
        <w:t>royalty-free, hilly paid-up, nontransferable, non-sub-licensable, and non-exclusive License to use die Customer Materials to perform the Services pursuant to this Agreement. This license shall be exclusive of any right to manufacture, develop or create derivative works of the Drug Product, the Primary Packaging or other Customer Materials. This license may not be sub-licensed by SHL to any person or entity except to (i) its Affiliates or (ii) third parties (other than competitors of Customer) but, in each case, solely for the purpose of providing manufacturing testing or assembling the Device, on behalf of SHL or its Affiliates with respect to the Product and solely in connection with this Agreement. Any License granted hereunder shall automatically terminate upon the expiration or termination of this Agreement without need of any further writing between the Parries.</w:t>
      </w:r>
    </w:p>
    <w:p>
      <w:pPr>
        <w:spacing w:after="0" w:line="156" w:lineRule="exact"/>
        <w:rPr>
          <w:sz w:val="20"/>
          <w:szCs w:val="20"/>
          <w:color w:val="auto"/>
        </w:rPr>
      </w:pPr>
    </w:p>
    <w:p>
      <w:pPr>
        <w:jc w:val="both"/>
        <w:ind w:left="1300" w:hanging="647"/>
        <w:spacing w:after="0" w:line="317" w:lineRule="auto"/>
        <w:rPr>
          <w:sz w:val="20"/>
          <w:szCs w:val="20"/>
          <w:color w:val="auto"/>
        </w:rPr>
      </w:pPr>
      <w:r>
        <w:rPr>
          <w:rFonts w:ascii="Arial" w:cs="Arial" w:eastAsia="Arial" w:hAnsi="Arial"/>
          <w:sz w:val="19"/>
          <w:szCs w:val="19"/>
          <w:color w:val="010000"/>
        </w:rPr>
        <w:t xml:space="preserve">12.5.3 </w:t>
      </w:r>
      <w:r>
        <w:rPr>
          <w:rFonts w:ascii="Arial" w:cs="Arial" w:eastAsia="Arial" w:hAnsi="Arial"/>
          <w:sz w:val="19"/>
          <w:szCs w:val="19"/>
          <w:color w:val="000000"/>
        </w:rPr>
        <w:t>All licenses or other rights to use, by one Party, the Intellectual Property of the other Party as granted under this</w:t>
      </w:r>
      <w:r>
        <w:rPr>
          <w:rFonts w:ascii="Arial" w:cs="Arial" w:eastAsia="Arial" w:hAnsi="Arial"/>
          <w:sz w:val="19"/>
          <w:szCs w:val="19"/>
          <w:color w:val="010000"/>
        </w:rPr>
        <w:t xml:space="preserve"> </w:t>
      </w:r>
      <w:r>
        <w:rPr>
          <w:rFonts w:ascii="Arial" w:cs="Arial" w:eastAsia="Arial" w:hAnsi="Arial"/>
          <w:sz w:val="19"/>
          <w:szCs w:val="19"/>
          <w:color w:val="000000"/>
        </w:rPr>
        <w:t>Agreement shall be limited to the specific Drug Product, Device, Field and Territory as specified in this Agreement and no such license shall be deemed to grant a Party access to Intellectual Property for any application to or use with a particular drug, device, field and/or indication that has not been previously identified in this Agreement.</w:t>
      </w:r>
    </w:p>
    <w:p>
      <w:pPr>
        <w:spacing w:after="0" w:line="142" w:lineRule="exact"/>
        <w:rPr>
          <w:sz w:val="20"/>
          <w:szCs w:val="20"/>
          <w:color w:val="auto"/>
        </w:rPr>
      </w:pPr>
    </w:p>
    <w:p>
      <w:pPr>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12.6</w:t>
      </w:r>
      <w:r>
        <w:rPr>
          <w:rFonts w:ascii="Arial" w:cs="Arial" w:eastAsia="Arial" w:hAnsi="Arial"/>
          <w:sz w:val="22"/>
          <w:szCs w:val="22"/>
          <w:color w:val="auto"/>
        </w:rPr>
        <w:tab/>
        <w:t>SHL owns and shall retain all right, title, and interest in and to all SHL’s Confidential Information and SHL’s Intellectual Property. Except otherwise stated within this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6" w:right="239" w:bottom="1440" w:gutter="0" w:footer="0" w:header="0"/>
        </w:sectPr>
      </w:pPr>
    </w:p>
    <w:bookmarkStart w:id="87" w:name="page88"/>
    <w:bookmarkEnd w:id="87"/>
    <w:p>
      <w:pPr>
        <w:ind w:left="220" w:right="220" w:firstLine="279"/>
        <w:spacing w:after="0" w:line="281" w:lineRule="auto"/>
        <w:tabs>
          <w:tab w:leader="none" w:pos="973" w:val="left"/>
        </w:tabs>
        <w:numPr>
          <w:ilvl w:val="0"/>
          <w:numId w:val="76"/>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Agreement, no Intellectual Property, right, license or privilege is granted to Customer under this section.</w:t>
      </w:r>
    </w:p>
    <w:p>
      <w:pPr>
        <w:spacing w:after="0" w:line="233"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12.7</w:t>
      </w:r>
      <w:r>
        <w:rPr>
          <w:rFonts w:ascii="Arial" w:cs="Arial" w:eastAsia="Arial" w:hAnsi="Arial"/>
          <w:sz w:val="22"/>
          <w:szCs w:val="22"/>
          <w:color w:val="auto"/>
        </w:rPr>
        <w:tab/>
        <w:t>Customer owns and shall retain all right, title, and interest in and to all Customer’s Confidential Information and Customer’s Intellectual Property. Except otherwise stated within this Agreement no Intellectual Property, right, License or privilege is granted to SHL under this section.</w:t>
      </w:r>
    </w:p>
    <w:p>
      <w:pPr>
        <w:spacing w:after="0" w:line="185"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12.8</w:t>
      </w:r>
      <w:r>
        <w:rPr>
          <w:rFonts w:ascii="Arial" w:cs="Arial" w:eastAsia="Arial" w:hAnsi="Arial"/>
          <w:sz w:val="22"/>
          <w:szCs w:val="22"/>
          <w:color w:val="auto"/>
        </w:rPr>
        <w:tab/>
        <w:t>Patenting: Customer shall control the filing, prosecution, and maintenance of any patent applications claiming any Customer’s Intellectual Property, and shall be responsible for paying all costs associated therewith, SHL shall control the filing, prosecution, and maintenance of any patent applications claiming any SHL’s Intellectual Property, and shall be responsible for paying all costs associated therewith.</w:t>
      </w:r>
    </w:p>
    <w:p>
      <w:pPr>
        <w:spacing w:after="0" w:line="188" w:lineRule="exact"/>
        <w:rPr>
          <w:sz w:val="20"/>
          <w:szCs w:val="20"/>
          <w:color w:val="auto"/>
        </w:rPr>
      </w:pPr>
    </w:p>
    <w:p>
      <w:pPr>
        <w:jc w:val="both"/>
        <w:ind w:left="980" w:hanging="647"/>
        <w:spacing w:after="0" w:line="276" w:lineRule="auto"/>
        <w:tabs>
          <w:tab w:leader="none" w:pos="960" w:val="left"/>
        </w:tabs>
        <w:rPr>
          <w:sz w:val="20"/>
          <w:szCs w:val="20"/>
          <w:color w:val="auto"/>
        </w:rPr>
      </w:pPr>
      <w:r>
        <w:rPr>
          <w:rFonts w:ascii="Arial" w:cs="Arial" w:eastAsia="Arial" w:hAnsi="Arial"/>
          <w:sz w:val="22"/>
          <w:szCs w:val="22"/>
          <w:color w:val="010000"/>
        </w:rPr>
        <w:t>12.9</w:t>
      </w:r>
      <w:r>
        <w:rPr>
          <w:rFonts w:ascii="Arial" w:cs="Arial" w:eastAsia="Arial" w:hAnsi="Arial"/>
          <w:sz w:val="22"/>
          <w:szCs w:val="22"/>
          <w:color w:val="auto"/>
        </w:rPr>
        <w:tab/>
        <w:t>Upon request SHL may provide only lo Customer’s appointed patent attorney the freedom to operate assessment conducted by SHL and/or its outside patent counsel related to the Device.</w:t>
      </w:r>
    </w:p>
    <w:p>
      <w:pPr>
        <w:spacing w:after="0" w:line="174" w:lineRule="exact"/>
        <w:rPr>
          <w:sz w:val="20"/>
          <w:szCs w:val="20"/>
          <w:color w:val="auto"/>
        </w:rPr>
      </w:pPr>
    </w:p>
    <w:p>
      <w:pPr>
        <w:jc w:val="both"/>
        <w:ind w:left="980" w:hanging="647"/>
        <w:spacing w:after="0" w:line="306" w:lineRule="auto"/>
        <w:rPr>
          <w:sz w:val="20"/>
          <w:szCs w:val="20"/>
          <w:color w:val="auto"/>
        </w:rPr>
      </w:pPr>
      <w:r>
        <w:rPr>
          <w:rFonts w:ascii="Arial" w:cs="Arial" w:eastAsia="Arial" w:hAnsi="Arial"/>
          <w:sz w:val="19"/>
          <w:szCs w:val="19"/>
          <w:color w:val="010000"/>
        </w:rPr>
        <w:t xml:space="preserve">12.10 </w:t>
      </w:r>
      <w:r>
        <w:rPr>
          <w:rFonts w:ascii="Arial" w:cs="Arial" w:eastAsia="Arial" w:hAnsi="Arial"/>
          <w:sz w:val="19"/>
          <w:szCs w:val="19"/>
          <w:color w:val="000000"/>
        </w:rPr>
        <w:t>Customer shall provide SHL with artwork, copy, or other material developed or produced in support of the Product</w:t>
      </w:r>
      <w:r>
        <w:rPr>
          <w:rFonts w:ascii="Arial" w:cs="Arial" w:eastAsia="Arial" w:hAnsi="Arial"/>
          <w:sz w:val="19"/>
          <w:szCs w:val="19"/>
          <w:color w:val="010000"/>
        </w:rPr>
        <w:t xml:space="preserve"> </w:t>
      </w:r>
      <w:r>
        <w:rPr>
          <w:rFonts w:ascii="Arial" w:cs="Arial" w:eastAsia="Arial" w:hAnsi="Arial"/>
          <w:sz w:val="19"/>
          <w:szCs w:val="19"/>
          <w:color w:val="000000"/>
        </w:rPr>
        <w:t>labels, printed packaging materials and Product inserts/leaflets. SHL will not make any change to the artwork, copy, or other materials submitted to the FDA by Customer without the prior written approval of Customer. Customer shall have the right to specify any commercially reasonable individual or bulk package sizes and types. SHL disclaims any responsibility with respect to any such artwork, copy or other material developed or produced in support of the Products’ labels, printed packaging materials and inserts/leaflets. Customer shall have no rights to use the artwork, trademarks, service marks, trade names, and logos owned by or licensed to SHL without SHL’s prior written consent.</w:t>
      </w:r>
    </w:p>
    <w:p>
      <w:pPr>
        <w:spacing w:after="0" w:line="157" w:lineRule="exact"/>
        <w:rPr>
          <w:sz w:val="20"/>
          <w:szCs w:val="20"/>
          <w:color w:val="auto"/>
        </w:rPr>
      </w:pPr>
    </w:p>
    <w:p>
      <w:pPr>
        <w:ind w:left="980"/>
        <w:spacing w:after="0" w:line="301" w:lineRule="auto"/>
        <w:rPr>
          <w:sz w:val="20"/>
          <w:szCs w:val="20"/>
          <w:color w:val="auto"/>
        </w:rPr>
      </w:pPr>
      <w:r>
        <w:rPr>
          <w:rFonts w:ascii="Arial" w:cs="Arial" w:eastAsia="Arial" w:hAnsi="Arial"/>
          <w:sz w:val="21"/>
          <w:szCs w:val="21"/>
          <w:color w:val="auto"/>
        </w:rPr>
        <w:t>Customer warrants that labels and printed packaging materials related to the Products shall not infringe, copy, or free ride, in whole or in part, upon the labels, trade dress, or printed packaging materials of third parties.</w:t>
      </w:r>
    </w:p>
    <w:p>
      <w:pPr>
        <w:spacing w:after="0" w:line="151" w:lineRule="exact"/>
        <w:rPr>
          <w:sz w:val="20"/>
          <w:szCs w:val="20"/>
          <w:color w:val="auto"/>
        </w:rPr>
      </w:pPr>
    </w:p>
    <w:p>
      <w:pPr>
        <w:jc w:val="both"/>
        <w:ind w:left="980" w:hanging="647"/>
        <w:spacing w:after="0" w:line="273" w:lineRule="auto"/>
        <w:tabs>
          <w:tab w:leader="none" w:pos="960" w:val="left"/>
        </w:tabs>
        <w:rPr>
          <w:sz w:val="20"/>
          <w:szCs w:val="20"/>
          <w:color w:val="auto"/>
        </w:rPr>
      </w:pPr>
      <w:r>
        <w:rPr>
          <w:rFonts w:ascii="Arial" w:cs="Arial" w:eastAsia="Arial" w:hAnsi="Arial"/>
          <w:sz w:val="22"/>
          <w:szCs w:val="22"/>
          <w:color w:val="010000"/>
        </w:rPr>
        <w:t>12.11</w:t>
      </w:r>
      <w:r>
        <w:rPr>
          <w:sz w:val="20"/>
          <w:szCs w:val="20"/>
          <w:color w:val="auto"/>
        </w:rPr>
        <w:tab/>
      </w:r>
      <w:r>
        <w:rPr>
          <w:rFonts w:ascii="Arial" w:cs="Arial" w:eastAsia="Arial" w:hAnsi="Arial"/>
          <w:sz w:val="21"/>
          <w:szCs w:val="21"/>
          <w:color w:val="auto"/>
        </w:rPr>
        <w:t>Except as specifically set forth herein, the Parties expressly acknowledge and agree that neither intends to convey any rights, licenses, assignments or grants to the other, by implication, estoppel or otlierwi.se, as a result of this Agreement. Nothing in this Agreement shall be construed as conveying any rights, license, assignments or grants (implied or mandated by law, equity or otherwise) in either Party’s Intellectual Property, including without limitation any Know-How, statutory or non-statutory rights, and in any other drug or pharmaceutical product besides the Product The Parries shall execute and deliver such further documents and take such further actions as may be necessary or appropriate to effectuate more fully this Agreement and to carry out the business contemplated by this Agreement, including without limitation any Intellectual Property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6" w:right="239" w:bottom="1440" w:gutter="0" w:footer="0" w:header="0"/>
        </w:sectPr>
      </w:pPr>
    </w:p>
    <w:bookmarkStart w:id="88" w:name="page89"/>
    <w:bookmarkEnd w:id="88"/>
    <w:p>
      <w:pPr>
        <w:ind w:left="220" w:right="220" w:firstLine="279"/>
        <w:spacing w:after="0" w:line="281" w:lineRule="auto"/>
        <w:tabs>
          <w:tab w:leader="none" w:pos="973"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licenses or assignments, grants or powers-of-attorney, as may be commercially reasonable and required.</w:t>
      </w:r>
    </w:p>
    <w:p>
      <w:pPr>
        <w:spacing w:after="0" w:line="233" w:lineRule="exact"/>
        <w:rPr>
          <w:sz w:val="20"/>
          <w:szCs w:val="20"/>
          <w:color w:val="auto"/>
        </w:rPr>
      </w:pPr>
    </w:p>
    <w:p>
      <w:pPr>
        <w:jc w:val="both"/>
        <w:ind w:left="980" w:hanging="647"/>
        <w:spacing w:after="0" w:line="261" w:lineRule="auto"/>
        <w:rPr>
          <w:sz w:val="20"/>
          <w:szCs w:val="20"/>
          <w:color w:val="auto"/>
        </w:rPr>
      </w:pPr>
      <w:r>
        <w:rPr>
          <w:rFonts w:ascii="Arial" w:cs="Arial" w:eastAsia="Arial" w:hAnsi="Arial"/>
          <w:sz w:val="22"/>
          <w:szCs w:val="22"/>
          <w:color w:val="010000"/>
        </w:rPr>
        <w:t xml:space="preserve">12.12 </w:t>
      </w:r>
      <w:r>
        <w:rPr>
          <w:rFonts w:ascii="Arial" w:cs="Arial" w:eastAsia="Arial" w:hAnsi="Arial"/>
          <w:sz w:val="22"/>
          <w:szCs w:val="22"/>
          <w:color w:val="000000"/>
        </w:rPr>
        <w:t>If either Party becomes aware of any circumstance, claim, or proceeding that relates to the Intellectual Property</w:t>
      </w:r>
      <w:r>
        <w:rPr>
          <w:rFonts w:ascii="Arial" w:cs="Arial" w:eastAsia="Arial" w:hAnsi="Arial"/>
          <w:sz w:val="22"/>
          <w:szCs w:val="22"/>
          <w:color w:val="010000"/>
        </w:rPr>
        <w:t xml:space="preserve"> </w:t>
      </w:r>
      <w:r>
        <w:rPr>
          <w:rFonts w:ascii="Arial" w:cs="Arial" w:eastAsia="Arial" w:hAnsi="Arial"/>
          <w:sz w:val="22"/>
          <w:szCs w:val="22"/>
          <w:color w:val="000000"/>
        </w:rPr>
        <w:t>embodied in the Device or Product that may adversely affect the validity, title, or enforceability of such Intellectual Property, or any actual, alleged, or threatened infringement of such Intellectual Property, or any actual, alleged, or threatened misappropriation or misuse of such Intellectual Property, such Party shah promptly notify the other Party thereof in writing.</w:t>
      </w:r>
    </w:p>
    <w:p>
      <w:pPr>
        <w:spacing w:after="0" w:line="191" w:lineRule="exact"/>
        <w:rPr>
          <w:sz w:val="20"/>
          <w:szCs w:val="20"/>
          <w:color w:val="auto"/>
        </w:rPr>
      </w:pPr>
    </w:p>
    <w:p>
      <w:pPr>
        <w:jc w:val="both"/>
        <w:ind w:left="980" w:hanging="647"/>
        <w:spacing w:after="0" w:line="304" w:lineRule="auto"/>
        <w:rPr>
          <w:sz w:val="20"/>
          <w:szCs w:val="20"/>
          <w:color w:val="auto"/>
        </w:rPr>
      </w:pPr>
      <w:r>
        <w:rPr>
          <w:rFonts w:ascii="Arial" w:cs="Arial" w:eastAsia="Arial" w:hAnsi="Arial"/>
          <w:sz w:val="19"/>
          <w:szCs w:val="19"/>
          <w:color w:val="010000"/>
        </w:rPr>
        <w:t xml:space="preserve">12.13 </w:t>
      </w:r>
      <w:r>
        <w:rPr>
          <w:rFonts w:ascii="Arial" w:cs="Arial" w:eastAsia="Arial" w:hAnsi="Arial"/>
          <w:sz w:val="19"/>
          <w:szCs w:val="19"/>
          <w:color w:val="000000"/>
        </w:rPr>
        <w:t>If any Intellectual Property embodied in tire Product becomes the subject of a third party claim of Intellectual Property</w:t>
      </w:r>
      <w:r>
        <w:rPr>
          <w:rFonts w:ascii="Arial" w:cs="Arial" w:eastAsia="Arial" w:hAnsi="Arial"/>
          <w:sz w:val="19"/>
          <w:szCs w:val="19"/>
          <w:color w:val="010000"/>
        </w:rPr>
        <w:t xml:space="preserve"> </w:t>
      </w:r>
      <w:r>
        <w:rPr>
          <w:rFonts w:ascii="Arial" w:cs="Arial" w:eastAsia="Arial" w:hAnsi="Arial"/>
          <w:sz w:val="19"/>
          <w:szCs w:val="19"/>
          <w:color w:val="000000"/>
        </w:rPr>
        <w:t>infringement, misappropriation, or misuse, SHL, with respect to the Device Intellectual Property, and Customer, with respect to the Customer Materials Intellectual Property, may, at its cost and expense, defend against such claim or initiate any declaratory judgment action or bring any other action necessary to protect such Intellectual Property (a “Defense Action”). If a Partly commences any such Defense Action as provided hereunder, the other Party may, at its option, elect to join such Party in such Defense Action, in which case such other Party shall bear its own out-of-pocket expenses (including the fees and expenses of any separate counsel) arising from such election to join. In connection with any such Defense Action and subject to the provisions of Section 12.16, the Parties shall cooperate fully and shall provide each other with any information or assistance that either reasonably requests.</w:t>
      </w:r>
    </w:p>
    <w:p>
      <w:pPr>
        <w:spacing w:after="0" w:line="156" w:lineRule="exact"/>
        <w:rPr>
          <w:sz w:val="20"/>
          <w:szCs w:val="20"/>
          <w:color w:val="auto"/>
        </w:rPr>
      </w:pPr>
    </w:p>
    <w:p>
      <w:pPr>
        <w:jc w:val="both"/>
        <w:ind w:left="980" w:hanging="647"/>
        <w:spacing w:after="0" w:line="272" w:lineRule="auto"/>
        <w:rPr>
          <w:sz w:val="20"/>
          <w:szCs w:val="20"/>
          <w:color w:val="auto"/>
        </w:rPr>
      </w:pPr>
      <w:r>
        <w:rPr>
          <w:rFonts w:ascii="Arial" w:cs="Arial" w:eastAsia="Arial" w:hAnsi="Arial"/>
          <w:sz w:val="21"/>
          <w:szCs w:val="21"/>
          <w:color w:val="010000"/>
        </w:rPr>
        <w:t xml:space="preserve">12.14 </w:t>
      </w:r>
      <w:r>
        <w:rPr>
          <w:rFonts w:ascii="Arial" w:cs="Arial" w:eastAsia="Arial" w:hAnsi="Arial"/>
          <w:sz w:val="21"/>
          <w:szCs w:val="21"/>
          <w:color w:val="000000"/>
        </w:rPr>
        <w:t>If a third party infringes, misappropriates, or misuses any Intellectual Property embodied in the Product, in the Territory,</w:t>
      </w:r>
      <w:r>
        <w:rPr>
          <w:rFonts w:ascii="Arial" w:cs="Arial" w:eastAsia="Arial" w:hAnsi="Arial"/>
          <w:sz w:val="21"/>
          <w:szCs w:val="21"/>
          <w:color w:val="010000"/>
        </w:rPr>
        <w:t xml:space="preserve"> </w:t>
      </w:r>
      <w:r>
        <w:rPr>
          <w:rFonts w:ascii="Arial" w:cs="Arial" w:eastAsia="Arial" w:hAnsi="Arial"/>
          <w:sz w:val="21"/>
          <w:szCs w:val="21"/>
          <w:color w:val="000000"/>
        </w:rPr>
        <w:t>SHL, with respect to the Device Intellectual Property, and Customer, with respect to the Customer Materials Intellectual Property, may institute, at its sole cost and expense, any actions against such third party for any such infringement, misappropriation or misuse of any such Intellectual Property in the Territory (each an “Enforcement Action”). If a Party fails to institute any such Enforcement Action within [***] of becoming first aware of any such infringement, misappropriation, or misuse, the other Party shall have the right but not the obligation to institute, at its sole cost and expense, such an Enforcement Action. If such other Party institutes an Enforcement Action, such Party agrees to be named as a Party to the Enforcement Action and take whatever other action is necessary for such other Party to institute and pursue the Enforcement Action. The conduct of such Enforcement Action shall be subject to the provisions of Section 12.16.</w:t>
      </w:r>
    </w:p>
    <w:p>
      <w:pPr>
        <w:spacing w:after="0" w:line="180" w:lineRule="exact"/>
        <w:rPr>
          <w:sz w:val="20"/>
          <w:szCs w:val="20"/>
          <w:color w:val="auto"/>
        </w:rPr>
      </w:pPr>
    </w:p>
    <w:p>
      <w:pPr>
        <w:jc w:val="both"/>
        <w:ind w:left="980" w:hanging="647"/>
        <w:spacing w:after="0" w:line="279" w:lineRule="auto"/>
        <w:rPr>
          <w:sz w:val="20"/>
          <w:szCs w:val="20"/>
          <w:color w:val="auto"/>
        </w:rPr>
      </w:pPr>
      <w:r>
        <w:rPr>
          <w:rFonts w:ascii="Arial" w:cs="Arial" w:eastAsia="Arial" w:hAnsi="Arial"/>
          <w:sz w:val="21"/>
          <w:szCs w:val="21"/>
          <w:color w:val="010000"/>
        </w:rPr>
        <w:t xml:space="preserve">12.15 </w:t>
      </w:r>
      <w:r>
        <w:rPr>
          <w:rFonts w:ascii="Arial" w:cs="Arial" w:eastAsia="Arial" w:hAnsi="Arial"/>
          <w:sz w:val="21"/>
          <w:szCs w:val="21"/>
          <w:color w:val="000000"/>
        </w:rPr>
        <w:t>Each Party shall reasonably cooperate and execute all necessary documents and take appropriate actions, at the expense</w:t>
      </w:r>
      <w:r>
        <w:rPr>
          <w:rFonts w:ascii="Arial" w:cs="Arial" w:eastAsia="Arial" w:hAnsi="Arial"/>
          <w:sz w:val="21"/>
          <w:szCs w:val="21"/>
          <w:color w:val="010000"/>
        </w:rPr>
        <w:t xml:space="preserve"> </w:t>
      </w:r>
      <w:r>
        <w:rPr>
          <w:rFonts w:ascii="Arial" w:cs="Arial" w:eastAsia="Arial" w:hAnsi="Arial"/>
          <w:sz w:val="21"/>
          <w:szCs w:val="21"/>
          <w:color w:val="000000"/>
        </w:rPr>
        <w:t>of the prosecuting Party, to: (i) allow the other Party to exercise a Defense Action, and (ii) institute and prosecute such Enforcement Action. In connection with any such Defense Action or Enforcement Action, the Parties shall fully cooperate and shall provide each other with any information or assistance that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6" w:right="239" w:bottom="1440" w:gutter="0" w:footer="0" w:header="0"/>
        </w:sectPr>
      </w:pPr>
    </w:p>
    <w:bookmarkStart w:id="89" w:name="page90"/>
    <w:bookmarkEnd w:id="89"/>
    <w:p>
      <w:pPr>
        <w:ind w:left="220" w:right="220" w:firstLine="279"/>
        <w:spacing w:after="0" w:line="281" w:lineRule="auto"/>
        <w:tabs>
          <w:tab w:leader="none" w:pos="973" w:val="left"/>
        </w:tabs>
        <w:numPr>
          <w:ilvl w:val="0"/>
          <w:numId w:val="78"/>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980"/>
        <w:spacing w:after="0" w:line="276" w:lineRule="auto"/>
        <w:rPr>
          <w:sz w:val="20"/>
          <w:szCs w:val="20"/>
          <w:color w:val="auto"/>
        </w:rPr>
      </w:pPr>
      <w:r>
        <w:rPr>
          <w:rFonts w:ascii="Arial" w:cs="Arial" w:eastAsia="Arial" w:hAnsi="Arial"/>
          <w:sz w:val="22"/>
          <w:szCs w:val="22"/>
          <w:color w:val="auto"/>
        </w:rPr>
        <w:t>either reasonably requests. Each Parry shall keep the other informed of developments in any such Defense Action or Enforcement Action.</w:t>
      </w:r>
    </w:p>
    <w:p>
      <w:pPr>
        <w:spacing w:after="0" w:line="174" w:lineRule="exact"/>
        <w:rPr>
          <w:sz w:val="20"/>
          <w:szCs w:val="20"/>
          <w:color w:val="auto"/>
        </w:rPr>
      </w:pPr>
    </w:p>
    <w:p>
      <w:pPr>
        <w:jc w:val="both"/>
        <w:ind w:left="980" w:hanging="647"/>
        <w:spacing w:after="0" w:line="266" w:lineRule="auto"/>
        <w:rPr>
          <w:sz w:val="20"/>
          <w:szCs w:val="20"/>
          <w:color w:val="auto"/>
        </w:rPr>
      </w:pPr>
      <w:r>
        <w:rPr>
          <w:rFonts w:ascii="Arial" w:cs="Arial" w:eastAsia="Arial" w:hAnsi="Arial"/>
          <w:sz w:val="22"/>
          <w:szCs w:val="22"/>
          <w:color w:val="010000"/>
        </w:rPr>
        <w:t xml:space="preserve">12.16 </w:t>
      </w:r>
      <w:r>
        <w:rPr>
          <w:rFonts w:ascii="Arial" w:cs="Arial" w:eastAsia="Arial" w:hAnsi="Arial"/>
          <w:sz w:val="22"/>
          <w:szCs w:val="22"/>
          <w:color w:val="000000"/>
        </w:rPr>
        <w:t>Neither Party may settle any Defense Action or Enforcement Action or consent to the entry of any judgment or</w:t>
      </w:r>
      <w:r>
        <w:rPr>
          <w:rFonts w:ascii="Arial" w:cs="Arial" w:eastAsia="Arial" w:hAnsi="Arial"/>
          <w:sz w:val="22"/>
          <w:szCs w:val="22"/>
          <w:color w:val="010000"/>
        </w:rPr>
        <w:t xml:space="preserve"> </w:t>
      </w:r>
      <w:r>
        <w:rPr>
          <w:rFonts w:ascii="Arial" w:cs="Arial" w:eastAsia="Arial" w:hAnsi="Arial"/>
          <w:sz w:val="22"/>
          <w:szCs w:val="22"/>
          <w:color w:val="000000"/>
        </w:rPr>
        <w:t>settlement or otherwise compromise any such action or suit in any way that may adversely affect the other Party’s rights or interests, without the other Party’s prior written consent.</w:t>
      </w:r>
    </w:p>
    <w:p>
      <w:pPr>
        <w:spacing w:after="0" w:line="185" w:lineRule="exact"/>
        <w:rPr>
          <w:sz w:val="20"/>
          <w:szCs w:val="20"/>
          <w:color w:val="auto"/>
        </w:rPr>
      </w:pPr>
    </w:p>
    <w:p>
      <w:pPr>
        <w:jc w:val="both"/>
        <w:ind w:left="980" w:hanging="647"/>
        <w:spacing w:after="0" w:line="261" w:lineRule="auto"/>
        <w:rPr>
          <w:sz w:val="20"/>
          <w:szCs w:val="20"/>
          <w:color w:val="auto"/>
        </w:rPr>
      </w:pPr>
      <w:r>
        <w:rPr>
          <w:rFonts w:ascii="Arial" w:cs="Arial" w:eastAsia="Arial" w:hAnsi="Arial"/>
          <w:sz w:val="22"/>
          <w:szCs w:val="22"/>
          <w:color w:val="010000"/>
        </w:rPr>
        <w:t xml:space="preserve">12.17 </w:t>
      </w:r>
      <w:r>
        <w:rPr>
          <w:rFonts w:ascii="Arial" w:cs="Arial" w:eastAsia="Arial" w:hAnsi="Arial"/>
          <w:sz w:val="22"/>
          <w:szCs w:val="22"/>
          <w:color w:val="000000"/>
        </w:rPr>
        <w:t>Any award paid by a third party as a result of any Defense Action or Enforcement Action contemplated under Section</w:t>
      </w:r>
      <w:r>
        <w:rPr>
          <w:rFonts w:ascii="Arial" w:cs="Arial" w:eastAsia="Arial" w:hAnsi="Arial"/>
          <w:sz w:val="22"/>
          <w:szCs w:val="22"/>
          <w:color w:val="010000"/>
        </w:rPr>
        <w:t xml:space="preserve"> </w:t>
      </w:r>
      <w:r>
        <w:rPr>
          <w:rFonts w:ascii="Arial" w:cs="Arial" w:eastAsia="Arial" w:hAnsi="Arial"/>
          <w:sz w:val="22"/>
          <w:szCs w:val="22"/>
          <w:color w:val="000000"/>
        </w:rPr>
        <w:t>12.13 or 12.14, as applicable, whether by way of settlement as contemplated by Section 12.16 or otherwise, shall be allocated first pro rata to the reimbursement of any expenses incurred by the Parties in such Defense Action or Enforcement Action, and any remaining amounts shall be allocated to the Party that instituted such Defense Action or Enforcement Action.</w:t>
      </w:r>
    </w:p>
    <w:p>
      <w:pPr>
        <w:spacing w:after="0" w:line="191" w:lineRule="exact"/>
        <w:rPr>
          <w:sz w:val="20"/>
          <w:szCs w:val="20"/>
          <w:color w:val="auto"/>
        </w:rPr>
      </w:pPr>
    </w:p>
    <w:p>
      <w:pPr>
        <w:jc w:val="both"/>
        <w:ind w:left="980" w:hanging="647"/>
        <w:spacing w:after="0" w:line="273" w:lineRule="auto"/>
        <w:rPr>
          <w:sz w:val="20"/>
          <w:szCs w:val="20"/>
          <w:color w:val="auto"/>
        </w:rPr>
      </w:pPr>
      <w:r>
        <w:rPr>
          <w:rFonts w:ascii="Arial" w:cs="Arial" w:eastAsia="Arial" w:hAnsi="Arial"/>
          <w:sz w:val="21"/>
          <w:szCs w:val="21"/>
          <w:color w:val="010000"/>
        </w:rPr>
        <w:t xml:space="preserve">12.18 </w:t>
      </w:r>
      <w:r>
        <w:rPr>
          <w:rFonts w:ascii="Arial" w:cs="Arial" w:eastAsia="Arial" w:hAnsi="Arial"/>
          <w:sz w:val="21"/>
          <w:szCs w:val="21"/>
          <w:color w:val="000000"/>
        </w:rPr>
        <w:t>To the best knowledge of the Parties as of the Effective Date, neither the entering of this Agreement nor fulfilling their</w:t>
      </w:r>
      <w:r>
        <w:rPr>
          <w:rFonts w:ascii="Arial" w:cs="Arial" w:eastAsia="Arial" w:hAnsi="Arial"/>
          <w:sz w:val="21"/>
          <w:szCs w:val="21"/>
          <w:color w:val="010000"/>
        </w:rPr>
        <w:t xml:space="preserve"> </w:t>
      </w:r>
      <w:r>
        <w:rPr>
          <w:rFonts w:ascii="Arial" w:cs="Arial" w:eastAsia="Arial" w:hAnsi="Arial"/>
          <w:sz w:val="21"/>
          <w:szCs w:val="21"/>
          <w:color w:val="000000"/>
        </w:rPr>
        <w:t>obligations in connection with this Agreement will infringe the Intellectual Property, contractual, or other proprietary rights of any third party. Further, SHL represents and warrants, to SHL’s knowledge, to Customer that, as of the Effective Date, the use and sale of the Device or any other technology used and associated with such Device, will not infringe the Intellectual Property or other proprietary rights of any third party. Customer represents and warrants, to Customer’s knowledge, to SHL that, as of the Effective Date, the use of the Customer Materials will not infringe the Intellectual Property or other proprietary rights of any third party.</w:t>
      </w:r>
    </w:p>
    <w:p>
      <w:pPr>
        <w:spacing w:after="0" w:line="17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22"/>
          <w:szCs w:val="22"/>
          <w:b w:val="1"/>
          <w:bCs w:val="1"/>
          <w:color w:val="010000"/>
        </w:rPr>
      </w:pPr>
      <w:r>
        <w:rPr>
          <w:rFonts w:ascii="Arial" w:cs="Arial" w:eastAsia="Arial" w:hAnsi="Arial"/>
          <w:sz w:val="22"/>
          <w:szCs w:val="22"/>
          <w:b w:val="1"/>
          <w:bCs w:val="1"/>
          <w:color w:val="auto"/>
        </w:rPr>
        <w:t>USE OF NAME</w:t>
      </w:r>
    </w:p>
    <w:p>
      <w:pPr>
        <w:spacing w:after="0" w:line="239" w:lineRule="exact"/>
        <w:rPr>
          <w:rFonts w:ascii="Arial" w:cs="Arial" w:eastAsia="Arial" w:hAnsi="Arial"/>
          <w:sz w:val="22"/>
          <w:szCs w:val="22"/>
          <w:b w:val="1"/>
          <w:bCs w:val="1"/>
          <w:color w:val="010000"/>
        </w:rPr>
      </w:pPr>
    </w:p>
    <w:p>
      <w:pPr>
        <w:ind w:left="340"/>
        <w:spacing w:after="0" w:line="301" w:lineRule="auto"/>
        <w:rPr>
          <w:rFonts w:ascii="Arial" w:cs="Arial" w:eastAsia="Arial" w:hAnsi="Arial"/>
          <w:sz w:val="22"/>
          <w:szCs w:val="22"/>
          <w:b w:val="1"/>
          <w:bCs w:val="1"/>
          <w:color w:val="010000"/>
        </w:rPr>
      </w:pPr>
      <w:r>
        <w:rPr>
          <w:rFonts w:ascii="Arial" w:cs="Arial" w:eastAsia="Arial" w:hAnsi="Arial"/>
          <w:sz w:val="21"/>
          <w:szCs w:val="21"/>
          <w:color w:val="auto"/>
        </w:rPr>
        <w:t>Neither Party will use the name, logo, or trademarks of the other Party or its Affiliates in any publicity, regulatory filing, advertising, or news release without the prior written approval of an authorized representative of the other Party.</w:t>
      </w:r>
    </w:p>
    <w:p>
      <w:pPr>
        <w:spacing w:after="0" w:line="144" w:lineRule="exact"/>
        <w:rPr>
          <w:rFonts w:ascii="Arial" w:cs="Arial" w:eastAsia="Arial" w:hAnsi="Arial"/>
          <w:sz w:val="22"/>
          <w:szCs w:val="22"/>
          <w:b w:val="1"/>
          <w:bCs w:val="1"/>
          <w:color w:val="010000"/>
        </w:rPr>
      </w:pPr>
    </w:p>
    <w:p>
      <w:pPr>
        <w:ind w:left="340" w:hanging="332"/>
        <w:spacing w:after="0"/>
        <w:tabs>
          <w:tab w:leader="none" w:pos="340" w:val="left"/>
        </w:tabs>
        <w:numPr>
          <w:ilvl w:val="0"/>
          <w:numId w:val="79"/>
        </w:numPr>
        <w:rPr>
          <w:rFonts w:ascii="Arial" w:cs="Arial" w:eastAsia="Arial" w:hAnsi="Arial"/>
          <w:sz w:val="22"/>
          <w:szCs w:val="22"/>
          <w:b w:val="1"/>
          <w:bCs w:val="1"/>
          <w:color w:val="010000"/>
        </w:rPr>
      </w:pPr>
      <w:r>
        <w:rPr>
          <w:rFonts w:ascii="Arial" w:cs="Arial" w:eastAsia="Arial" w:hAnsi="Arial"/>
          <w:sz w:val="22"/>
          <w:szCs w:val="22"/>
          <w:b w:val="1"/>
          <w:bCs w:val="1"/>
          <w:color w:val="auto"/>
        </w:rPr>
        <w:t>TERM AND TERMINATION</w:t>
      </w:r>
    </w:p>
    <w:p>
      <w:pPr>
        <w:spacing w:after="0" w:line="228" w:lineRule="exact"/>
        <w:rPr>
          <w:rFonts w:ascii="Arial" w:cs="Arial" w:eastAsia="Arial" w:hAnsi="Arial"/>
          <w:sz w:val="22"/>
          <w:szCs w:val="22"/>
          <w:b w:val="1"/>
          <w:bCs w:val="1"/>
          <w:color w:val="010000"/>
        </w:rPr>
      </w:pPr>
    </w:p>
    <w:p>
      <w:pPr>
        <w:ind w:left="980" w:hanging="648"/>
        <w:spacing w:after="0" w:line="247" w:lineRule="auto"/>
        <w:rPr>
          <w:rFonts w:ascii="Arial" w:cs="Arial" w:eastAsia="Arial" w:hAnsi="Arial"/>
          <w:sz w:val="22"/>
          <w:szCs w:val="22"/>
          <w:b w:val="1"/>
          <w:bCs w:val="1"/>
          <w:color w:val="010000"/>
        </w:rPr>
      </w:pPr>
      <w:r>
        <w:rPr>
          <w:rFonts w:ascii="Arial" w:cs="Arial" w:eastAsia="Arial" w:hAnsi="Arial"/>
          <w:sz w:val="22"/>
          <w:szCs w:val="22"/>
          <w:color w:val="010000"/>
        </w:rPr>
        <w:t xml:space="preserve">14.1 </w:t>
      </w:r>
      <w:r>
        <w:rPr>
          <w:rFonts w:ascii="Arial" w:cs="Arial" w:eastAsia="Arial" w:hAnsi="Arial"/>
          <w:sz w:val="22"/>
          <w:szCs w:val="22"/>
          <w:color w:val="000000"/>
        </w:rPr>
        <w:t>The Initial Term of this Agreement shall end upon the fifth (5</w:t>
      </w:r>
      <w:r>
        <w:rPr>
          <w:rFonts w:ascii="Arial" w:cs="Arial" w:eastAsia="Arial" w:hAnsi="Arial"/>
          <w:sz w:val="28"/>
          <w:szCs w:val="28"/>
          <w:color w:val="000000"/>
          <w:vertAlign w:val="superscript"/>
        </w:rPr>
        <w:t>th</w:t>
      </w:r>
      <w:r>
        <w:rPr>
          <w:rFonts w:ascii="Arial" w:cs="Arial" w:eastAsia="Arial" w:hAnsi="Arial"/>
          <w:sz w:val="22"/>
          <w:szCs w:val="22"/>
          <w:color w:val="000000"/>
        </w:rPr>
        <w:t>) anniversary of the Effective Date (the “Initial Term”).</w:t>
      </w:r>
      <w:r>
        <w:rPr>
          <w:rFonts w:ascii="Arial" w:cs="Arial" w:eastAsia="Arial" w:hAnsi="Arial"/>
          <w:sz w:val="22"/>
          <w:szCs w:val="22"/>
          <w:color w:val="010000"/>
        </w:rPr>
        <w:t xml:space="preserve"> </w:t>
      </w:r>
      <w:r>
        <w:rPr>
          <w:rFonts w:ascii="Arial" w:cs="Arial" w:eastAsia="Arial" w:hAnsi="Arial"/>
          <w:sz w:val="22"/>
          <w:szCs w:val="22"/>
          <w:color w:val="000000"/>
        </w:rPr>
        <w:t>This Agreement shall automatically renew for successive two (2) year periods (each a “Renewal Term”, and ah such Renewal Terms together with the Initial Term, collectively the “Term”), unless either Party notifies the other Party in writing at least [***] prior to the expiration of the then current Term that such Party does not wish to renew this Agreement for an additional Renewal Term.</w:t>
      </w:r>
    </w:p>
    <w:p>
      <w:pPr>
        <w:spacing w:after="0" w:line="204" w:lineRule="exact"/>
        <w:rPr>
          <w:rFonts w:ascii="Arial" w:cs="Arial" w:eastAsia="Arial" w:hAnsi="Arial"/>
          <w:sz w:val="22"/>
          <w:szCs w:val="22"/>
          <w:b w:val="1"/>
          <w:bCs w:val="1"/>
          <w:color w:val="010000"/>
        </w:rPr>
      </w:pPr>
    </w:p>
    <w:p>
      <w:pPr>
        <w:ind w:left="34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14.2   </w:t>
      </w:r>
      <w:r>
        <w:rPr>
          <w:rFonts w:ascii="Arial" w:cs="Arial" w:eastAsia="Arial" w:hAnsi="Arial"/>
          <w:sz w:val="22"/>
          <w:szCs w:val="22"/>
          <w:color w:val="000000"/>
        </w:rPr>
        <w:t>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6" w:right="239" w:bottom="1440" w:gutter="0" w:footer="0" w:header="0"/>
        </w:sectPr>
      </w:pPr>
    </w:p>
    <w:bookmarkStart w:id="90" w:name="page91"/>
    <w:bookmarkEnd w:id="90"/>
    <w:p>
      <w:pPr>
        <w:ind w:left="220" w:right="220" w:firstLine="279"/>
        <w:spacing w:after="0" w:line="281" w:lineRule="auto"/>
        <w:tabs>
          <w:tab w:leader="none" w:pos="973" w:val="left"/>
        </w:tabs>
        <w:numPr>
          <w:ilvl w:val="0"/>
          <w:numId w:val="80"/>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1300" w:hanging="647"/>
        <w:spacing w:after="0" w:line="275" w:lineRule="auto"/>
        <w:rPr>
          <w:sz w:val="20"/>
          <w:szCs w:val="20"/>
          <w:color w:val="auto"/>
        </w:rPr>
      </w:pPr>
      <w:r>
        <w:rPr>
          <w:rFonts w:ascii="Arial" w:cs="Arial" w:eastAsia="Arial" w:hAnsi="Arial"/>
          <w:sz w:val="21"/>
          <w:szCs w:val="21"/>
          <w:color w:val="010000"/>
        </w:rPr>
        <w:t xml:space="preserve">14.2.1 </w:t>
      </w:r>
      <w:r>
        <w:rPr>
          <w:rFonts w:ascii="Arial" w:cs="Arial" w:eastAsia="Arial" w:hAnsi="Arial"/>
          <w:sz w:val="21"/>
          <w:szCs w:val="21"/>
          <w:color w:val="000000"/>
        </w:rPr>
        <w:t>Either Party may terminate this Agreement for cause prior to the completion of the Term. If a Party fails to perform</w:t>
      </w:r>
      <w:r>
        <w:rPr>
          <w:rFonts w:ascii="Arial" w:cs="Arial" w:eastAsia="Arial" w:hAnsi="Arial"/>
          <w:sz w:val="21"/>
          <w:szCs w:val="21"/>
          <w:color w:val="010000"/>
        </w:rPr>
        <w:t xml:space="preserve"> </w:t>
      </w:r>
      <w:r>
        <w:rPr>
          <w:rFonts w:ascii="Arial" w:cs="Arial" w:eastAsia="Arial" w:hAnsi="Arial"/>
          <w:sz w:val="21"/>
          <w:szCs w:val="21"/>
          <w:color w:val="000000"/>
        </w:rPr>
        <w:t>any material obligation or otherwise breaches any material provision of this Agreement, the non-breaching Party may provide written notice thereof, specifying in detail the nature of the breach and indicating its intent to terminate if such breach is not cured. A Party in breach of this Agreement shall have [***] from receipt of such notice to remedy such breach. If the breach is not cured within [***], the non-breaching Party may elect to terminate this Agreement immediately by written notice to the breaching Party.</w:t>
      </w:r>
    </w:p>
    <w:p>
      <w:pPr>
        <w:spacing w:after="0" w:line="177" w:lineRule="exact"/>
        <w:rPr>
          <w:sz w:val="20"/>
          <w:szCs w:val="20"/>
          <w:color w:val="auto"/>
        </w:rPr>
      </w:pPr>
    </w:p>
    <w:p>
      <w:pPr>
        <w:jc w:val="both"/>
        <w:ind w:left="1300" w:hanging="647"/>
        <w:spacing w:after="0" w:line="312" w:lineRule="auto"/>
        <w:rPr>
          <w:sz w:val="20"/>
          <w:szCs w:val="20"/>
          <w:color w:val="auto"/>
        </w:rPr>
      </w:pPr>
      <w:r>
        <w:rPr>
          <w:rFonts w:ascii="Arial" w:cs="Arial" w:eastAsia="Arial" w:hAnsi="Arial"/>
          <w:sz w:val="19"/>
          <w:szCs w:val="19"/>
          <w:color w:val="010000"/>
        </w:rPr>
        <w:t xml:space="preserve">14.2.2 </w:t>
      </w:r>
      <w:r>
        <w:rPr>
          <w:rFonts w:ascii="Arial" w:cs="Arial" w:eastAsia="Arial" w:hAnsi="Arial"/>
          <w:sz w:val="19"/>
          <w:szCs w:val="19"/>
          <w:color w:val="000000"/>
        </w:rPr>
        <w:t>Customer may terminate the Agreement at any time during the Term if (i) except as provided under Article 23, SHL</w:t>
      </w:r>
      <w:r>
        <w:rPr>
          <w:rFonts w:ascii="Arial" w:cs="Arial" w:eastAsia="Arial" w:hAnsi="Arial"/>
          <w:sz w:val="19"/>
          <w:szCs w:val="19"/>
          <w:color w:val="010000"/>
        </w:rPr>
        <w:t xml:space="preserve"> </w:t>
      </w:r>
      <w:r>
        <w:rPr>
          <w:rFonts w:ascii="Arial" w:cs="Arial" w:eastAsia="Arial" w:hAnsi="Arial"/>
          <w:sz w:val="19"/>
          <w:szCs w:val="19"/>
          <w:color w:val="000000"/>
        </w:rPr>
        <w:t>voluntarily delays the performance of the Services for a continuous period of [***], or (ii) [***] which were not the result of Customer’s failure to deliver Primary Packaging on-time, or (in) Customer provides SHL with a copy of the notice received from the FDA informing it of a refusal, cancellation or withdrawal of the regulatory authorization that would have allowed Customer to commercialize the Product or the Drug Product in the Territory.</w:t>
      </w:r>
    </w:p>
    <w:p>
      <w:pPr>
        <w:spacing w:after="0" w:line="146" w:lineRule="exact"/>
        <w:rPr>
          <w:sz w:val="20"/>
          <w:szCs w:val="20"/>
          <w:color w:val="auto"/>
        </w:rPr>
      </w:pPr>
    </w:p>
    <w:p>
      <w:pPr>
        <w:jc w:val="both"/>
        <w:ind w:left="1300" w:hanging="647"/>
        <w:spacing w:after="0" w:line="263" w:lineRule="auto"/>
        <w:rPr>
          <w:sz w:val="20"/>
          <w:szCs w:val="20"/>
          <w:color w:val="auto"/>
        </w:rPr>
      </w:pPr>
      <w:r>
        <w:rPr>
          <w:rFonts w:ascii="Arial" w:cs="Arial" w:eastAsia="Arial" w:hAnsi="Arial"/>
          <w:sz w:val="22"/>
          <w:szCs w:val="22"/>
          <w:color w:val="010000"/>
        </w:rPr>
        <w:t xml:space="preserve">14.2.3 </w:t>
      </w:r>
      <w:r>
        <w:rPr>
          <w:rFonts w:ascii="Arial" w:cs="Arial" w:eastAsia="Arial" w:hAnsi="Arial"/>
          <w:sz w:val="22"/>
          <w:szCs w:val="22"/>
          <w:color w:val="000000"/>
        </w:rPr>
        <w:t>Either Party may terminate this Agreement effective upon issuance of written notice if, at any time, the other Party</w:t>
      </w:r>
      <w:r>
        <w:rPr>
          <w:rFonts w:ascii="Arial" w:cs="Arial" w:eastAsia="Arial" w:hAnsi="Arial"/>
          <w:sz w:val="22"/>
          <w:szCs w:val="22"/>
          <w:color w:val="010000"/>
        </w:rPr>
        <w:t xml:space="preserve"> </w:t>
      </w:r>
      <w:r>
        <w:rPr>
          <w:rFonts w:ascii="Arial" w:cs="Arial" w:eastAsia="Arial" w:hAnsi="Arial"/>
          <w:sz w:val="22"/>
          <w:szCs w:val="22"/>
          <w:color w:val="000000"/>
        </w:rPr>
        <w:t>files a petition in bankruptcy, or applies for or consents to the appointment of a receiver or trustee, or makes an assignment for the benefit of creditors, or suffers or permits the entry of an order adjudicating it to be bankrupt or insolvent.</w:t>
      </w:r>
    </w:p>
    <w:p>
      <w:pPr>
        <w:spacing w:after="0" w:line="188"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14.3</w:t>
      </w:r>
      <w:r>
        <w:rPr>
          <w:rFonts w:ascii="Arial" w:cs="Arial" w:eastAsia="Arial" w:hAnsi="Arial"/>
          <w:sz w:val="22"/>
          <w:szCs w:val="22"/>
          <w:color w:val="auto"/>
        </w:rPr>
        <w:tab/>
        <w:t>Termination without cause. This Agreement can be terminated without cause by one Party providing written notice to the other Party [***] prior to the expiration of the Initial Term or die expiration of any subsequent Renewal Term, as provided for in Section 14.1</w:t>
      </w:r>
    </w:p>
    <w:p>
      <w:pPr>
        <w:spacing w:after="0" w:line="185"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22"/>
          <w:szCs w:val="22"/>
          <w:color w:val="010000"/>
        </w:rPr>
        <w:t>14.4</w:t>
      </w:r>
      <w:r>
        <w:rPr>
          <w:sz w:val="20"/>
          <w:szCs w:val="20"/>
          <w:color w:val="auto"/>
        </w:rPr>
        <w:tab/>
      </w:r>
      <w:r>
        <w:rPr>
          <w:rFonts w:ascii="Arial" w:cs="Arial" w:eastAsia="Arial" w:hAnsi="Arial"/>
          <w:sz w:val="19"/>
          <w:szCs w:val="19"/>
          <w:color w:val="auto"/>
        </w:rPr>
        <w:t>Effect of termination or expiration.</w:t>
      </w:r>
    </w:p>
    <w:p>
      <w:pPr>
        <w:spacing w:after="0" w:line="233" w:lineRule="exact"/>
        <w:rPr>
          <w:sz w:val="20"/>
          <w:szCs w:val="20"/>
          <w:color w:val="auto"/>
        </w:rPr>
      </w:pPr>
    </w:p>
    <w:p>
      <w:pPr>
        <w:jc w:val="both"/>
        <w:ind w:left="1300" w:hanging="647"/>
        <w:spacing w:after="0" w:line="266" w:lineRule="auto"/>
        <w:rPr>
          <w:sz w:val="20"/>
          <w:szCs w:val="20"/>
          <w:color w:val="auto"/>
        </w:rPr>
      </w:pPr>
      <w:r>
        <w:rPr>
          <w:rFonts w:ascii="Arial" w:cs="Arial" w:eastAsia="Arial" w:hAnsi="Arial"/>
          <w:sz w:val="22"/>
          <w:szCs w:val="22"/>
          <w:color w:val="010000"/>
        </w:rPr>
        <w:t xml:space="preserve">14.4.1 </w:t>
      </w:r>
      <w:r>
        <w:rPr>
          <w:rFonts w:ascii="Arial" w:cs="Arial" w:eastAsia="Arial" w:hAnsi="Arial"/>
          <w:sz w:val="22"/>
          <w:szCs w:val="22"/>
          <w:color w:val="000000"/>
        </w:rPr>
        <w:t>Upon termination or expiration of, as applicable, this Agreement, SHL shall immediately continue its use of</w:t>
      </w:r>
      <w:r>
        <w:rPr>
          <w:rFonts w:ascii="Arial" w:cs="Arial" w:eastAsia="Arial" w:hAnsi="Arial"/>
          <w:sz w:val="22"/>
          <w:szCs w:val="22"/>
          <w:color w:val="010000"/>
        </w:rPr>
        <w:t xml:space="preserve"> </w:t>
      </w:r>
      <w:r>
        <w:rPr>
          <w:rFonts w:ascii="Arial" w:cs="Arial" w:eastAsia="Arial" w:hAnsi="Arial"/>
          <w:sz w:val="22"/>
          <w:szCs w:val="22"/>
          <w:color w:val="000000"/>
        </w:rPr>
        <w:t>Customer Materials and performance of the Services as directed by Customer, except as otherwise required to complete Services described herein.</w:t>
      </w:r>
    </w:p>
    <w:p>
      <w:pPr>
        <w:spacing w:after="0" w:line="185" w:lineRule="exact"/>
        <w:rPr>
          <w:sz w:val="20"/>
          <w:szCs w:val="20"/>
          <w:color w:val="auto"/>
        </w:rPr>
      </w:pPr>
    </w:p>
    <w:p>
      <w:pPr>
        <w:jc w:val="both"/>
        <w:ind w:left="1300" w:hanging="647"/>
        <w:spacing w:after="0" w:line="273" w:lineRule="auto"/>
        <w:rPr>
          <w:sz w:val="20"/>
          <w:szCs w:val="20"/>
          <w:color w:val="auto"/>
        </w:rPr>
      </w:pPr>
      <w:r>
        <w:rPr>
          <w:rFonts w:ascii="Arial" w:cs="Arial" w:eastAsia="Arial" w:hAnsi="Arial"/>
          <w:sz w:val="21"/>
          <w:szCs w:val="21"/>
          <w:color w:val="010000"/>
        </w:rPr>
        <w:t xml:space="preserve">14.4.2 </w:t>
      </w:r>
      <w:r>
        <w:rPr>
          <w:rFonts w:ascii="Arial" w:cs="Arial" w:eastAsia="Arial" w:hAnsi="Arial"/>
          <w:sz w:val="21"/>
          <w:szCs w:val="21"/>
          <w:color w:val="000000"/>
        </w:rPr>
        <w:t>If expiration or termination of this Agreement is due to a material breach as described in Section 14.2.1, the</w:t>
      </w:r>
      <w:r>
        <w:rPr>
          <w:rFonts w:ascii="Arial" w:cs="Arial" w:eastAsia="Arial" w:hAnsi="Arial"/>
          <w:sz w:val="21"/>
          <w:szCs w:val="21"/>
          <w:color w:val="010000"/>
        </w:rPr>
        <w:t xml:space="preserve"> </w:t>
      </w:r>
      <w:r>
        <w:rPr>
          <w:rFonts w:ascii="Arial" w:cs="Arial" w:eastAsia="Arial" w:hAnsi="Arial"/>
          <w:sz w:val="21"/>
          <w:szCs w:val="21"/>
          <w:color w:val="000000"/>
        </w:rPr>
        <w:t>terminating Party shall not have any obligation to make any further payments to the other, except for any amount that would remain due to the other Parry as of the date of termination or expiration of the Agreement. In the event of expiration or any termination (other than a termination due to a material breach by SHL) occurring prior to the completion of the Services, Customer shall not be relieved of its obligation to; (i) accept deliver of conforming Products manufactured or in the process of being manufactured for Purchase Orders opened prior to the date of termination or expiration, (ii) pay for all conforming Products manufactured 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6" w:right="239" w:bottom="1440" w:gutter="0" w:footer="0" w:header="0"/>
        </w:sectPr>
      </w:pPr>
    </w:p>
    <w:bookmarkStart w:id="91" w:name="page92"/>
    <w:bookmarkEnd w:id="91"/>
    <w:p>
      <w:pPr>
        <w:ind w:left="220" w:right="220" w:firstLine="279"/>
        <w:spacing w:after="0" w:line="281" w:lineRule="auto"/>
        <w:tabs>
          <w:tab w:leader="none" w:pos="973"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the process of being manufactured for open Purchase Orders prior to the date of termination or expiration; and</w:t>
      </w:r>
    </w:p>
    <w:p>
      <w:pPr>
        <w:spacing w:after="0" w:line="56" w:lineRule="exact"/>
        <w:rPr>
          <w:sz w:val="20"/>
          <w:szCs w:val="20"/>
          <w:color w:val="auto"/>
        </w:rPr>
      </w:pPr>
    </w:p>
    <w:p>
      <w:pPr>
        <w:jc w:val="both"/>
        <w:ind w:left="1300" w:firstLine="5"/>
        <w:spacing w:after="0" w:line="260" w:lineRule="auto"/>
        <w:tabs>
          <w:tab w:leader="none" w:pos="16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cover all costs related to work in process and the raw materials to be specifically used in the performance of this Agreement and that were purchased or stored by SHL in accordance with Customer’s binding and non-binding forecast in accordance with Section 5.1.2 including, but not limited to, any Safety Stock maintained pursuant to this Agreement and Device sub-assembly work in process produced by SHL prior to the date of termination or expiration of this Agreement.</w:t>
      </w:r>
    </w:p>
    <w:p>
      <w:pPr>
        <w:spacing w:after="0" w:line="192" w:lineRule="exact"/>
        <w:rPr>
          <w:sz w:val="20"/>
          <w:szCs w:val="20"/>
          <w:color w:val="auto"/>
        </w:rPr>
      </w:pPr>
    </w:p>
    <w:p>
      <w:pPr>
        <w:jc w:val="both"/>
        <w:ind w:left="1300" w:hanging="647"/>
        <w:spacing w:after="0" w:line="276" w:lineRule="auto"/>
        <w:rPr>
          <w:sz w:val="20"/>
          <w:szCs w:val="20"/>
          <w:color w:val="auto"/>
        </w:rPr>
      </w:pPr>
      <w:r>
        <w:rPr>
          <w:rFonts w:ascii="Arial" w:cs="Arial" w:eastAsia="Arial" w:hAnsi="Arial"/>
          <w:sz w:val="21"/>
          <w:szCs w:val="21"/>
          <w:color w:val="010000"/>
        </w:rPr>
        <w:t xml:space="preserve">14.4.3 </w:t>
      </w:r>
      <w:r>
        <w:rPr>
          <w:rFonts w:ascii="Arial" w:cs="Arial" w:eastAsia="Arial" w:hAnsi="Arial"/>
          <w:sz w:val="21"/>
          <w:szCs w:val="21"/>
          <w:color w:val="000000"/>
        </w:rPr>
        <w:t>If expiration or termination of this Agreement is not da e to a material breach by either Party as described in Section</w:t>
      </w:r>
      <w:r>
        <w:rPr>
          <w:rFonts w:ascii="Arial" w:cs="Arial" w:eastAsia="Arial" w:hAnsi="Arial"/>
          <w:sz w:val="21"/>
          <w:szCs w:val="21"/>
          <w:color w:val="010000"/>
        </w:rPr>
        <w:t xml:space="preserve"> </w:t>
      </w:r>
      <w:r>
        <w:rPr>
          <w:rFonts w:ascii="Arial" w:cs="Arial" w:eastAsia="Arial" w:hAnsi="Arial"/>
          <w:sz w:val="21"/>
          <w:szCs w:val="21"/>
          <w:color w:val="000000"/>
        </w:rPr>
        <w:t>14.2 1, Customer shall have the option to: (i) secure additional Product from SHL at the men applicable Price for quantities up to [***] of the latest Rolling Forecast for delivery at a mutually agreeable time; and (ii) purchase empty Device sub-assemblies required to assemble Product at another manufacturing site for a minimum of [***] after SHL Services at the Facilities have been completed [***].</w:t>
      </w:r>
    </w:p>
    <w:p>
      <w:pPr>
        <w:spacing w:after="0" w:line="178" w:lineRule="exact"/>
        <w:rPr>
          <w:sz w:val="20"/>
          <w:szCs w:val="20"/>
          <w:color w:val="auto"/>
        </w:rPr>
      </w:pPr>
    </w:p>
    <w:p>
      <w:pPr>
        <w:jc w:val="both"/>
        <w:ind w:left="1300" w:hanging="647"/>
        <w:spacing w:after="0" w:line="273" w:lineRule="auto"/>
        <w:rPr>
          <w:sz w:val="20"/>
          <w:szCs w:val="20"/>
          <w:color w:val="auto"/>
        </w:rPr>
      </w:pPr>
      <w:r>
        <w:rPr>
          <w:rFonts w:ascii="Arial" w:cs="Arial" w:eastAsia="Arial" w:hAnsi="Arial"/>
          <w:sz w:val="21"/>
          <w:szCs w:val="21"/>
          <w:color w:val="010000"/>
        </w:rPr>
        <w:t xml:space="preserve">14.4.4 </w:t>
      </w:r>
      <w:r>
        <w:rPr>
          <w:rFonts w:ascii="Arial" w:cs="Arial" w:eastAsia="Arial" w:hAnsi="Arial"/>
          <w:sz w:val="21"/>
          <w:szCs w:val="21"/>
          <w:color w:val="000000"/>
        </w:rPr>
        <w:t>Upon the expiration or termination of this Agreement and upon receipt by SHL, in hill, of all fees and expenses due</w:t>
      </w:r>
      <w:r>
        <w:rPr>
          <w:rFonts w:ascii="Arial" w:cs="Arial" w:eastAsia="Arial" w:hAnsi="Arial"/>
          <w:sz w:val="21"/>
          <w:szCs w:val="21"/>
          <w:color w:val="010000"/>
        </w:rPr>
        <w:t xml:space="preserve"> </w:t>
      </w:r>
      <w:r>
        <w:rPr>
          <w:rFonts w:ascii="Arial" w:cs="Arial" w:eastAsia="Arial" w:hAnsi="Arial"/>
          <w:sz w:val="21"/>
          <w:szCs w:val="21"/>
          <w:color w:val="000000"/>
        </w:rPr>
        <w:t>by Customer, each Party shall promptly and in any event within [***], return to the other its Confidential Information and tangible embodiments of its Intellectual Property and tangible copies thereof as well as destroy all electronic copies thereof in that Party’s possession, custody or control; provided, however, that each Party may retain a copy of such information as necessary for archival purposes. Each Party shall, upon request, provide to the other a written confirmation that ah the foregoing information or materials have been either returned to the Party to whom they belong or have been lost or destroyed such that no copy, electronic or otherwise, exists in the confirming Party’s possession, custody or control.</w:t>
      </w:r>
    </w:p>
    <w:p>
      <w:pPr>
        <w:spacing w:after="0" w:line="179" w:lineRule="exact"/>
        <w:rPr>
          <w:sz w:val="20"/>
          <w:szCs w:val="20"/>
          <w:color w:val="auto"/>
        </w:rPr>
      </w:pPr>
    </w:p>
    <w:p>
      <w:pPr>
        <w:jc w:val="both"/>
        <w:ind w:left="1300" w:hanging="647"/>
        <w:spacing w:after="0" w:line="266" w:lineRule="auto"/>
        <w:rPr>
          <w:sz w:val="20"/>
          <w:szCs w:val="20"/>
          <w:color w:val="auto"/>
        </w:rPr>
      </w:pPr>
      <w:r>
        <w:rPr>
          <w:rFonts w:ascii="Arial" w:cs="Arial" w:eastAsia="Arial" w:hAnsi="Arial"/>
          <w:sz w:val="22"/>
          <w:szCs w:val="22"/>
          <w:color w:val="010000"/>
        </w:rPr>
        <w:t xml:space="preserve">14.4.5 </w:t>
      </w:r>
      <w:r>
        <w:rPr>
          <w:rFonts w:ascii="Arial" w:cs="Arial" w:eastAsia="Arial" w:hAnsi="Arial"/>
          <w:sz w:val="22"/>
          <w:szCs w:val="22"/>
          <w:color w:val="000000"/>
        </w:rPr>
        <w:t>Any licenses to Intellectual Property shah be deemed cancelled and revoked without need of any further writing</w:t>
      </w:r>
      <w:r>
        <w:rPr>
          <w:rFonts w:ascii="Arial" w:cs="Arial" w:eastAsia="Arial" w:hAnsi="Arial"/>
          <w:sz w:val="22"/>
          <w:szCs w:val="22"/>
          <w:color w:val="010000"/>
        </w:rPr>
        <w:t xml:space="preserve"> </w:t>
      </w:r>
      <w:r>
        <w:rPr>
          <w:rFonts w:ascii="Arial" w:cs="Arial" w:eastAsia="Arial" w:hAnsi="Arial"/>
          <w:sz w:val="22"/>
          <w:szCs w:val="22"/>
          <w:color w:val="000000"/>
        </w:rPr>
        <w:t>between the Parties. Such cancellation and revocation shah not apply to Products already delivered, and the Devices therein, or Devices purchased and provided under Section 14.4.3.</w:t>
      </w:r>
    </w:p>
    <w:p>
      <w:pPr>
        <w:spacing w:after="0" w:line="185" w:lineRule="exact"/>
        <w:rPr>
          <w:sz w:val="20"/>
          <w:szCs w:val="20"/>
          <w:color w:val="auto"/>
        </w:rPr>
      </w:pPr>
    </w:p>
    <w:p>
      <w:pPr>
        <w:jc w:val="both"/>
        <w:ind w:left="1300" w:hanging="647"/>
        <w:spacing w:after="0" w:line="266" w:lineRule="auto"/>
        <w:rPr>
          <w:sz w:val="20"/>
          <w:szCs w:val="20"/>
          <w:color w:val="auto"/>
        </w:rPr>
      </w:pPr>
      <w:r>
        <w:rPr>
          <w:rFonts w:ascii="Arial" w:cs="Arial" w:eastAsia="Arial" w:hAnsi="Arial"/>
          <w:sz w:val="22"/>
          <w:szCs w:val="22"/>
          <w:color w:val="010000"/>
        </w:rPr>
        <w:t xml:space="preserve">14.4.6 </w:t>
      </w:r>
      <w:r>
        <w:rPr>
          <w:rFonts w:ascii="Arial" w:cs="Arial" w:eastAsia="Arial" w:hAnsi="Arial"/>
          <w:sz w:val="22"/>
          <w:szCs w:val="22"/>
          <w:color w:val="000000"/>
        </w:rPr>
        <w:t>Termination or expiration of this Agreement shall not waive any other remedies or continuing obligations as set</w:t>
      </w:r>
      <w:r>
        <w:rPr>
          <w:rFonts w:ascii="Arial" w:cs="Arial" w:eastAsia="Arial" w:hAnsi="Arial"/>
          <w:sz w:val="22"/>
          <w:szCs w:val="22"/>
          <w:color w:val="010000"/>
        </w:rPr>
        <w:t xml:space="preserve"> </w:t>
      </w:r>
      <w:r>
        <w:rPr>
          <w:rFonts w:ascii="Arial" w:cs="Arial" w:eastAsia="Arial" w:hAnsi="Arial"/>
          <w:sz w:val="22"/>
          <w:szCs w:val="22"/>
          <w:color w:val="000000"/>
        </w:rPr>
        <w:t>forth herein or in the Quality Agreements, including, but not limited to those regarding quality, Confidential Information and Intellectual Property.</w:t>
      </w:r>
    </w:p>
    <w:p>
      <w:pPr>
        <w:spacing w:after="0" w:line="179"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22"/>
          <w:szCs w:val="22"/>
          <w:b w:val="1"/>
          <w:bCs w:val="1"/>
          <w:color w:val="010000"/>
        </w:rPr>
      </w:pPr>
      <w:r>
        <w:rPr>
          <w:rFonts w:ascii="Arial" w:cs="Arial" w:eastAsia="Arial" w:hAnsi="Arial"/>
          <w:sz w:val="22"/>
          <w:szCs w:val="22"/>
          <w:b w:val="1"/>
          <w:bCs w:val="1"/>
          <w:color w:val="auto"/>
        </w:rPr>
        <w:t>INDEMNIFICATION AND LIABILITY</w:t>
      </w:r>
    </w:p>
    <w:p>
      <w:pPr>
        <w:spacing w:after="0" w:line="239" w:lineRule="exact"/>
        <w:rPr>
          <w:rFonts w:ascii="Arial" w:cs="Arial" w:eastAsia="Arial" w:hAnsi="Arial"/>
          <w:sz w:val="22"/>
          <w:szCs w:val="22"/>
          <w:b w:val="1"/>
          <w:bCs w:val="1"/>
          <w:color w:val="010000"/>
        </w:rPr>
      </w:pPr>
    </w:p>
    <w:p>
      <w:pPr>
        <w:ind w:left="980" w:right="20" w:hanging="648"/>
        <w:spacing w:after="0" w:line="276" w:lineRule="auto"/>
        <w:rPr>
          <w:rFonts w:ascii="Arial" w:cs="Arial" w:eastAsia="Arial" w:hAnsi="Arial"/>
          <w:sz w:val="22"/>
          <w:szCs w:val="22"/>
          <w:b w:val="1"/>
          <w:bCs w:val="1"/>
          <w:color w:val="010000"/>
        </w:rPr>
      </w:pPr>
      <w:r>
        <w:rPr>
          <w:rFonts w:ascii="Arial" w:cs="Arial" w:eastAsia="Arial" w:hAnsi="Arial"/>
          <w:sz w:val="22"/>
          <w:szCs w:val="22"/>
          <w:color w:val="010000"/>
        </w:rPr>
        <w:t xml:space="preserve">15.1 </w:t>
      </w:r>
      <w:r>
        <w:rPr>
          <w:rFonts w:ascii="Arial" w:cs="Arial" w:eastAsia="Arial" w:hAnsi="Arial"/>
          <w:sz w:val="22"/>
          <w:szCs w:val="22"/>
          <w:color w:val="000000"/>
        </w:rPr>
        <w:t>Customer shall defend and indemnify SHL and its Affiliates, and its officers, agents, and employees, from and against</w:t>
      </w:r>
      <w:r>
        <w:rPr>
          <w:rFonts w:ascii="Arial" w:cs="Arial" w:eastAsia="Arial" w:hAnsi="Arial"/>
          <w:sz w:val="22"/>
          <w:szCs w:val="22"/>
          <w:color w:val="010000"/>
        </w:rPr>
        <w:t xml:space="preserve"> </w:t>
      </w:r>
      <w:r>
        <w:rPr>
          <w:rFonts w:ascii="Arial" w:cs="Arial" w:eastAsia="Arial" w:hAnsi="Arial"/>
          <w:sz w:val="22"/>
          <w:szCs w:val="22"/>
          <w:color w:val="000000"/>
        </w:rPr>
        <w:t>all third party claims, losses, damages, injuries, costs,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6" w:right="239" w:bottom="1440" w:gutter="0" w:footer="0" w:header="0"/>
        </w:sectPr>
      </w:pPr>
    </w:p>
    <w:bookmarkStart w:id="92" w:name="page93"/>
    <w:bookmarkEnd w:id="92"/>
    <w:p>
      <w:pPr>
        <w:ind w:left="220" w:right="220" w:firstLine="279"/>
        <w:spacing w:after="0" w:line="281" w:lineRule="auto"/>
        <w:tabs>
          <w:tab w:leader="none" w:pos="973"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spacing w:after="0" w:line="303" w:lineRule="auto"/>
        <w:rPr>
          <w:sz w:val="20"/>
          <w:szCs w:val="20"/>
          <w:color w:val="auto"/>
        </w:rPr>
      </w:pPr>
      <w:r>
        <w:rPr>
          <w:rFonts w:ascii="Arial" w:cs="Arial" w:eastAsia="Arial" w:hAnsi="Arial"/>
          <w:sz w:val="19"/>
          <w:szCs w:val="19"/>
          <w:color w:val="auto"/>
        </w:rPr>
        <w:t>or expenses that may be sustained., suffered, or incurred by any of the foregoing, including without limitation, expenses of litigation and reasonable attorneys’ fees for: (i) any breach of Customer’s representations, warranties, or obligations under this Agreement, or non-fulfillment of or failure to perform any covenant or agreement made by Customer in this Agreement, which breach of representations shall include, for the avoidance of doubt, the infringement of any third party’s Intellectual Property by the use of Customer Materials by SHL, as permitted hereunder; (ii) any personal injury, death or property damage caused by the possession, use of Customer Materials or consumption by any person of the Drug Product to the extend such injury, death or damage was not caused by a defect or malfunction of the Device; (iii) any manufacturing defect in the Drug Product or the Primary Packaging; (iv) the use of any Primary Packaging or Drug Product supplied to SHL by Customer; and (v) any other intentional act, negligent act or omission on the part of Customer or its respective employees or agents, ill each case, to the extent any such losses are not the result of the negligence or willful misconduct of SHL.</w:t>
      </w:r>
    </w:p>
    <w:p>
      <w:pPr>
        <w:spacing w:after="0" w:line="200" w:lineRule="exact"/>
        <w:rPr>
          <w:sz w:val="20"/>
          <w:szCs w:val="20"/>
          <w:color w:val="auto"/>
        </w:rPr>
      </w:pPr>
    </w:p>
    <w:p>
      <w:pPr>
        <w:spacing w:after="0" w:line="229" w:lineRule="exact"/>
        <w:rPr>
          <w:sz w:val="20"/>
          <w:szCs w:val="20"/>
          <w:color w:val="auto"/>
        </w:rPr>
      </w:pPr>
    </w:p>
    <w:p>
      <w:pPr>
        <w:jc w:val="both"/>
        <w:ind w:left="980" w:hanging="647"/>
        <w:spacing w:after="0" w:line="301" w:lineRule="auto"/>
        <w:tabs>
          <w:tab w:leader="none" w:pos="960" w:val="left"/>
        </w:tabs>
        <w:rPr>
          <w:sz w:val="20"/>
          <w:szCs w:val="20"/>
          <w:color w:val="auto"/>
        </w:rPr>
      </w:pPr>
      <w:r>
        <w:rPr>
          <w:rFonts w:ascii="Arial" w:cs="Arial" w:eastAsia="Arial" w:hAnsi="Arial"/>
          <w:sz w:val="22"/>
          <w:szCs w:val="22"/>
          <w:color w:val="010000"/>
        </w:rPr>
        <w:t>15.2</w:t>
      </w:r>
      <w:r>
        <w:rPr>
          <w:sz w:val="20"/>
          <w:szCs w:val="20"/>
          <w:color w:val="auto"/>
        </w:rPr>
        <w:tab/>
      </w:r>
      <w:r>
        <w:rPr>
          <w:rFonts w:ascii="Arial" w:cs="Arial" w:eastAsia="Arial" w:hAnsi="Arial"/>
          <w:sz w:val="19"/>
          <w:szCs w:val="19"/>
          <w:color w:val="auto"/>
        </w:rPr>
        <w:t>SHL shall defend and indemnify Customer and its Affiliates, and its officers, agents, and employees, from and against all third party claims, losses, damages, injuries, costs, or expenses that may be sustained, suffered, or incurred by any of the foregoing, including without limitation, expenses of litigation and reasonable attorneys’ fees for (i) any breach of SHL’s representations, warranties, or obligations under this Agreement, or non-fulfillment of or failure to perform any covenant or agreement made by SHL m this Agreement, which breach of representations shall include, for the avoidance of doubt, the infringement of any third party’s Intellectual Property by the manufacture, use, sale, importation, assembly or distribution of the Device in the Territory by Customer; (ii) any personal injury, death or property damage caused by the possession, use or consumption by any person of the Device that is a result of SHL’s actions or inactions, to the extent such personal injury, death or property damage was not caused by the possession, or use of any of the Customer Materials or consumption of the Drug Product; (iii) any personal injury, death or property damage caused by the possession, use or consumption by any person of the Device that is a result of SHL’s actions or inactions, to the extent such personal injury, death or property damage was not caused by the possession, use of any of the Customer Materials or consumption of the Drug Product; and (iv) any other intentional act, negligent act or omission on the part of SHL or its employees or agents including, without limitation, SHL’s failure to comply with all applicable laws, rules and regulatory requirements within the Territory concerning the Device, except if any such claim arises from a negligent act or omission or the intentional misconduct of Customer.</w:t>
      </w:r>
    </w:p>
    <w:p>
      <w:pPr>
        <w:spacing w:after="0" w:line="200" w:lineRule="exact"/>
        <w:rPr>
          <w:sz w:val="20"/>
          <w:szCs w:val="20"/>
          <w:color w:val="auto"/>
        </w:rPr>
      </w:pPr>
    </w:p>
    <w:p>
      <w:pPr>
        <w:spacing w:after="0" w:line="227"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15.3</w:t>
      </w:r>
      <w:r>
        <w:rPr>
          <w:rFonts w:ascii="Arial" w:cs="Arial" w:eastAsia="Arial" w:hAnsi="Arial"/>
          <w:sz w:val="22"/>
          <w:szCs w:val="22"/>
          <w:color w:val="auto"/>
        </w:rPr>
        <w:tab/>
        <w:t>In the event that any claim is asserted against any Party hereto, or any Party hereto is made a Party defendant in any action or proceeding, and such claim, action or proceeding involves a matter which is subject to a claim for indemnification under this Article 15,</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6" w:right="239" w:bottom="1440" w:gutter="0" w:footer="0" w:header="0"/>
        </w:sectPr>
      </w:pPr>
    </w:p>
    <w:bookmarkStart w:id="93" w:name="page94"/>
    <w:bookmarkEnd w:id="93"/>
    <w:p>
      <w:pPr>
        <w:ind w:left="220" w:right="220" w:firstLine="279"/>
        <w:spacing w:after="0" w:line="281" w:lineRule="auto"/>
        <w:tabs>
          <w:tab w:leader="none" w:pos="973"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980"/>
        <w:spacing w:after="0" w:line="271" w:lineRule="auto"/>
        <w:rPr>
          <w:sz w:val="20"/>
          <w:szCs w:val="20"/>
          <w:color w:val="auto"/>
        </w:rPr>
      </w:pPr>
      <w:r>
        <w:rPr>
          <w:rFonts w:ascii="Arial" w:cs="Arial" w:eastAsia="Arial" w:hAnsi="Arial"/>
          <w:sz w:val="21"/>
          <w:szCs w:val="21"/>
          <w:color w:val="auto"/>
        </w:rPr>
        <w:t>then such Party (an “Indemnified Party”) shah promptly give written notice to the other Party (the “Indemnifying Party”) of such claim, action or proceeding, and such Indemnifying Party shall have the right to join in the defense of said claim, action or proceeding, at such Indemnifying Party’s own cost and expense, and if the Indemnifying Party agrees in writing to be bound by and to promptly pay the full amount of any final judgment from which no further appeal may be taken and if the Indemnified Party is reasonably assured of the Indemnifying Party’s ability to satisfy such agreement, then at the option of the Indemnifying Party, such Indemnifying Party may take over the defense of such claim, action or proceeding, except drat, in such case, the Indemnified Party shall have the right to approve any attorney or counsel selected by the Indemnifying Party (which approval shall not be unreasonably delayed or withheld) and to join in the defense of said claim, action or proceeding at its own cost and expense. In no event shall either Party institute, settle, or otherwise resolve any claim or potential claim, action or proceeding relating to the Product or intellectual Property of or licensed by SHL under the terms of this Agreement without the prior written consent of the other Party.</w:t>
      </w:r>
    </w:p>
    <w:p>
      <w:pPr>
        <w:spacing w:after="0" w:line="185" w:lineRule="exact"/>
        <w:rPr>
          <w:sz w:val="20"/>
          <w:szCs w:val="20"/>
          <w:color w:val="auto"/>
        </w:rPr>
      </w:pPr>
    </w:p>
    <w:p>
      <w:pPr>
        <w:jc w:val="both"/>
        <w:ind w:left="980" w:hanging="647"/>
        <w:spacing w:after="0" w:line="266" w:lineRule="auto"/>
        <w:tabs>
          <w:tab w:leader="none" w:pos="960" w:val="left"/>
        </w:tabs>
        <w:rPr>
          <w:sz w:val="20"/>
          <w:szCs w:val="20"/>
          <w:color w:val="auto"/>
        </w:rPr>
      </w:pPr>
      <w:r>
        <w:rPr>
          <w:rFonts w:ascii="Arial" w:cs="Arial" w:eastAsia="Arial" w:hAnsi="Arial"/>
          <w:sz w:val="22"/>
          <w:szCs w:val="22"/>
          <w:color w:val="010000"/>
        </w:rPr>
        <w:t>15.4</w:t>
      </w:r>
      <w:r>
        <w:rPr>
          <w:rFonts w:ascii="Arial" w:cs="Arial" w:eastAsia="Arial" w:hAnsi="Arial"/>
          <w:sz w:val="22"/>
          <w:szCs w:val="22"/>
          <w:color w:val="auto"/>
        </w:rPr>
        <w:tab/>
        <w:t>In no event shall either Party be liable to the other Party under this Agreement for: (i) any indirect, consequential, incidental, punitive, or special damages; and (ii) lost profits, loss of use, loss of data, loss of revenue, or damages resulting from value added to the Product.</w:t>
      </w:r>
    </w:p>
    <w:p>
      <w:pPr>
        <w:spacing w:after="0" w:line="185" w:lineRule="exact"/>
        <w:rPr>
          <w:sz w:val="20"/>
          <w:szCs w:val="20"/>
          <w:color w:val="auto"/>
        </w:rPr>
      </w:pPr>
    </w:p>
    <w:p>
      <w:pPr>
        <w:jc w:val="both"/>
        <w:ind w:left="980" w:hanging="647"/>
        <w:spacing w:after="0" w:line="263" w:lineRule="auto"/>
        <w:tabs>
          <w:tab w:leader="none" w:pos="960" w:val="left"/>
        </w:tabs>
        <w:rPr>
          <w:sz w:val="20"/>
          <w:szCs w:val="20"/>
          <w:color w:val="auto"/>
        </w:rPr>
      </w:pPr>
      <w:r>
        <w:rPr>
          <w:rFonts w:ascii="Arial" w:cs="Arial" w:eastAsia="Arial" w:hAnsi="Arial"/>
          <w:sz w:val="22"/>
          <w:szCs w:val="22"/>
          <w:color w:val="010000"/>
        </w:rPr>
        <w:t>15.5</w:t>
      </w:r>
      <w:r>
        <w:rPr>
          <w:rFonts w:ascii="Arial" w:cs="Arial" w:eastAsia="Arial" w:hAnsi="Arial"/>
          <w:sz w:val="22"/>
          <w:szCs w:val="22"/>
          <w:color w:val="auto"/>
        </w:rPr>
        <w:tab/>
        <w:t>In no event shall either Party’s total liability to the other Party arising under this Agreement, including any indemnification paid by either Party pursuant to Sections 15.1 and 15.2 of this Agreement exceed the total amount received by SHL from Customer under this Agreement during any [***] period beginning on the Effective Date, or the sum of [***], whichever is lesser.</w:t>
      </w:r>
    </w:p>
    <w:p>
      <w:pPr>
        <w:spacing w:after="0" w:line="182"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color w:val="auto"/>
        </w:rPr>
        <w:t>SURVIVAL</w:t>
      </w:r>
    </w:p>
    <w:p>
      <w:pPr>
        <w:spacing w:after="0" w:line="239" w:lineRule="exact"/>
        <w:rPr>
          <w:rFonts w:ascii="Arial" w:cs="Arial" w:eastAsia="Arial" w:hAnsi="Arial"/>
          <w:sz w:val="22"/>
          <w:szCs w:val="22"/>
          <w:b w:val="1"/>
          <w:bCs w:val="1"/>
          <w:color w:val="010000"/>
        </w:rPr>
      </w:pPr>
    </w:p>
    <w:p>
      <w:pPr>
        <w:jc w:val="both"/>
        <w:ind w:left="340"/>
        <w:spacing w:after="0" w:line="317" w:lineRule="auto"/>
        <w:rPr>
          <w:rFonts w:ascii="Arial" w:cs="Arial" w:eastAsia="Arial" w:hAnsi="Arial"/>
          <w:sz w:val="22"/>
          <w:szCs w:val="22"/>
          <w:b w:val="1"/>
          <w:bCs w:val="1"/>
          <w:color w:val="010000"/>
        </w:rPr>
      </w:pPr>
      <w:r>
        <w:rPr>
          <w:rFonts w:ascii="Arial" w:cs="Arial" w:eastAsia="Arial" w:hAnsi="Arial"/>
          <w:sz w:val="19"/>
          <w:szCs w:val="19"/>
          <w:color w:val="auto"/>
        </w:rPr>
        <w:t>Termination of this Agreement by either Party or its expiration shall not affect the rights and obligations of the Parties accrued prior to the date of the termination or expiration. The rights and obligations of the following Articles and Sections shall survive the expiration or termination of the Agreement: 1, 2.9, 3.4, 3.9, 7, 8.1, 10, 11, 12, 13, 14.4, 15, 16, 17, 18, 19, 20, 21, 22 and 25; except, SHL’s obligation to continue performing the activities in this Agreement shall not survive.</w:t>
      </w:r>
    </w:p>
    <w:p>
      <w:pPr>
        <w:spacing w:after="0" w:line="136" w:lineRule="exact"/>
        <w:rPr>
          <w:rFonts w:ascii="Arial" w:cs="Arial" w:eastAsia="Arial" w:hAnsi="Arial"/>
          <w:sz w:val="22"/>
          <w:szCs w:val="22"/>
          <w:b w:val="1"/>
          <w:bCs w:val="1"/>
          <w:color w:val="010000"/>
        </w:rPr>
      </w:pPr>
    </w:p>
    <w:p>
      <w:pPr>
        <w:ind w:left="340" w:hanging="332"/>
        <w:spacing w:after="0"/>
        <w:tabs>
          <w:tab w:leader="none" w:pos="340" w:val="left"/>
        </w:tabs>
        <w:numPr>
          <w:ilvl w:val="0"/>
          <w:numId w:val="86"/>
        </w:numPr>
        <w:rPr>
          <w:rFonts w:ascii="Arial" w:cs="Arial" w:eastAsia="Arial" w:hAnsi="Arial"/>
          <w:sz w:val="22"/>
          <w:szCs w:val="22"/>
          <w:b w:val="1"/>
          <w:bCs w:val="1"/>
          <w:color w:val="010000"/>
        </w:rPr>
      </w:pPr>
      <w:r>
        <w:rPr>
          <w:rFonts w:ascii="Arial" w:cs="Arial" w:eastAsia="Arial" w:hAnsi="Arial"/>
          <w:sz w:val="22"/>
          <w:szCs w:val="22"/>
          <w:b w:val="1"/>
          <w:bCs w:val="1"/>
          <w:color w:val="auto"/>
        </w:rPr>
        <w:t>SEVERABILITY</w:t>
      </w:r>
    </w:p>
    <w:p>
      <w:pPr>
        <w:spacing w:after="0" w:line="239" w:lineRule="exact"/>
        <w:rPr>
          <w:rFonts w:ascii="Arial" w:cs="Arial" w:eastAsia="Arial" w:hAnsi="Arial"/>
          <w:sz w:val="22"/>
          <w:szCs w:val="22"/>
          <w:b w:val="1"/>
          <w:bCs w:val="1"/>
          <w:color w:val="010000"/>
        </w:rPr>
      </w:pPr>
    </w:p>
    <w:p>
      <w:pPr>
        <w:jc w:val="both"/>
        <w:ind w:left="340"/>
        <w:spacing w:after="0" w:line="279" w:lineRule="auto"/>
        <w:rPr>
          <w:rFonts w:ascii="Arial" w:cs="Arial" w:eastAsia="Arial" w:hAnsi="Arial"/>
          <w:sz w:val="22"/>
          <w:szCs w:val="22"/>
          <w:b w:val="1"/>
          <w:bCs w:val="1"/>
          <w:color w:val="010000"/>
        </w:rPr>
      </w:pPr>
      <w:r>
        <w:rPr>
          <w:rFonts w:ascii="Arial" w:cs="Arial" w:eastAsia="Arial" w:hAnsi="Arial"/>
          <w:sz w:val="21"/>
          <w:szCs w:val="21"/>
          <w:color w:val="auto"/>
        </w:rPr>
        <w:t>If a court or other tribunal of competent jurisdiction should hold any term or provision of this Agreement to be excessive, invalid, void, or unenforceable, the offending term or provision shall be deleted, and if possible, replaced by a term or provision which, so far as practicable achieves the legitimate aims of the Parties. Any invalidity or unenforceability of any article or provision of this Agreement shall not affect the remainder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6" w:right="239" w:bottom="1440" w:gutter="0" w:footer="0" w:header="0"/>
        </w:sectPr>
      </w:pPr>
    </w:p>
    <w:bookmarkStart w:id="94" w:name="page95"/>
    <w:bookmarkEnd w:id="94"/>
    <w:p>
      <w:pPr>
        <w:ind w:left="220" w:right="220" w:firstLine="279"/>
        <w:spacing w:after="0" w:line="281" w:lineRule="auto"/>
        <w:tabs>
          <w:tab w:leader="none" w:pos="973"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rFonts w:ascii="Arial" w:cs="Arial" w:eastAsia="Arial" w:hAnsi="Arial"/>
          <w:sz w:val="19"/>
          <w:szCs w:val="19"/>
          <w:color w:val="auto"/>
        </w:rPr>
      </w:pPr>
    </w:p>
    <w:p>
      <w:pPr>
        <w:spacing w:after="0" w:line="275" w:lineRule="exact"/>
        <w:rPr>
          <w:rFonts w:ascii="Arial" w:cs="Arial" w:eastAsia="Arial" w:hAnsi="Arial"/>
          <w:sz w:val="19"/>
          <w:szCs w:val="19"/>
          <w:color w:val="auto"/>
        </w:rPr>
      </w:pPr>
    </w:p>
    <w:p>
      <w:pPr>
        <w:ind w:left="340" w:hanging="332"/>
        <w:spacing w:after="0"/>
        <w:tabs>
          <w:tab w:leader="none" w:pos="34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color w:val="auto"/>
        </w:rPr>
        <w:t>RELATIONSHIP BETWEEN THE PARTIES</w:t>
      </w:r>
    </w:p>
    <w:p>
      <w:pPr>
        <w:spacing w:after="0" w:line="239" w:lineRule="exact"/>
        <w:rPr>
          <w:rFonts w:ascii="Arial" w:cs="Arial" w:eastAsia="Arial" w:hAnsi="Arial"/>
          <w:sz w:val="22"/>
          <w:szCs w:val="22"/>
          <w:b w:val="1"/>
          <w:bCs w:val="1"/>
          <w:color w:val="010000"/>
        </w:rPr>
      </w:pPr>
    </w:p>
    <w:p>
      <w:pPr>
        <w:ind w:left="980" w:hanging="648"/>
        <w:spacing w:after="0" w:line="266" w:lineRule="auto"/>
        <w:rPr>
          <w:rFonts w:ascii="Arial" w:cs="Arial" w:eastAsia="Arial" w:hAnsi="Arial"/>
          <w:sz w:val="22"/>
          <w:szCs w:val="22"/>
          <w:b w:val="1"/>
          <w:bCs w:val="1"/>
          <w:color w:val="010000"/>
        </w:rPr>
      </w:pPr>
      <w:r>
        <w:rPr>
          <w:rFonts w:ascii="Arial" w:cs="Arial" w:eastAsia="Arial" w:hAnsi="Arial"/>
          <w:sz w:val="22"/>
          <w:szCs w:val="22"/>
          <w:color w:val="010000"/>
        </w:rPr>
        <w:t xml:space="preserve">18.1 </w:t>
      </w:r>
      <w:r>
        <w:rPr>
          <w:rFonts w:ascii="Arial" w:cs="Arial" w:eastAsia="Arial" w:hAnsi="Arial"/>
          <w:sz w:val="22"/>
          <w:szCs w:val="22"/>
          <w:color w:val="000000"/>
        </w:rPr>
        <w:t>SHL and Customer, for all purposes related to this Agreement, shall be deemed independent contractors. Nothing in this</w:t>
      </w:r>
      <w:r>
        <w:rPr>
          <w:rFonts w:ascii="Arial" w:cs="Arial" w:eastAsia="Arial" w:hAnsi="Arial"/>
          <w:sz w:val="22"/>
          <w:szCs w:val="22"/>
          <w:color w:val="010000"/>
        </w:rPr>
        <w:t xml:space="preserve"> </w:t>
      </w:r>
      <w:r>
        <w:rPr>
          <w:rFonts w:ascii="Arial" w:cs="Arial" w:eastAsia="Arial" w:hAnsi="Arial"/>
          <w:sz w:val="22"/>
          <w:szCs w:val="22"/>
          <w:color w:val="000000"/>
        </w:rPr>
        <w:t>Agreement shall be deemed to create a relationship of employment or agency or to constitute the Parties as partners or joint ventures.</w:t>
      </w:r>
    </w:p>
    <w:p>
      <w:pPr>
        <w:spacing w:after="0" w:line="185" w:lineRule="exact"/>
        <w:rPr>
          <w:rFonts w:ascii="Arial" w:cs="Arial" w:eastAsia="Arial" w:hAnsi="Arial"/>
          <w:sz w:val="22"/>
          <w:szCs w:val="22"/>
          <w:b w:val="1"/>
          <w:bCs w:val="1"/>
          <w:color w:val="010000"/>
        </w:rPr>
      </w:pPr>
    </w:p>
    <w:p>
      <w:pPr>
        <w:ind w:left="340"/>
        <w:spacing w:after="0"/>
        <w:rPr>
          <w:rFonts w:ascii="Arial" w:cs="Arial" w:eastAsia="Arial" w:hAnsi="Arial"/>
          <w:sz w:val="22"/>
          <w:szCs w:val="22"/>
          <w:b w:val="1"/>
          <w:bCs w:val="1"/>
          <w:color w:val="010000"/>
        </w:rPr>
      </w:pPr>
      <w:r>
        <w:rPr>
          <w:rFonts w:ascii="Arial" w:cs="Arial" w:eastAsia="Arial" w:hAnsi="Arial"/>
          <w:sz w:val="22"/>
          <w:szCs w:val="22"/>
          <w:color w:val="010000"/>
        </w:rPr>
        <w:t xml:space="preserve">18.2   </w:t>
      </w:r>
      <w:r>
        <w:rPr>
          <w:rFonts w:ascii="Arial" w:cs="Arial" w:eastAsia="Arial" w:hAnsi="Arial"/>
          <w:sz w:val="22"/>
          <w:szCs w:val="22"/>
          <w:color w:val="000000"/>
        </w:rPr>
        <w:t>This Agreement shall not be deemed to confer any rights or remedies upon any person not a Party hereto.</w:t>
      </w:r>
    </w:p>
    <w:p>
      <w:pPr>
        <w:spacing w:after="0" w:line="233" w:lineRule="exact"/>
        <w:rPr>
          <w:rFonts w:ascii="Arial" w:cs="Arial" w:eastAsia="Arial" w:hAnsi="Arial"/>
          <w:sz w:val="22"/>
          <w:szCs w:val="22"/>
          <w:b w:val="1"/>
          <w:bCs w:val="1"/>
          <w:color w:val="010000"/>
        </w:rPr>
      </w:pPr>
    </w:p>
    <w:p>
      <w:pPr>
        <w:ind w:left="980" w:hanging="648"/>
        <w:spacing w:after="0" w:line="276" w:lineRule="auto"/>
        <w:rPr>
          <w:rFonts w:ascii="Arial" w:cs="Arial" w:eastAsia="Arial" w:hAnsi="Arial"/>
          <w:sz w:val="22"/>
          <w:szCs w:val="22"/>
          <w:b w:val="1"/>
          <w:bCs w:val="1"/>
          <w:color w:val="010000"/>
        </w:rPr>
      </w:pPr>
      <w:r>
        <w:rPr>
          <w:rFonts w:ascii="Arial" w:cs="Arial" w:eastAsia="Arial" w:hAnsi="Arial"/>
          <w:sz w:val="22"/>
          <w:szCs w:val="22"/>
          <w:color w:val="010000"/>
        </w:rPr>
        <w:t xml:space="preserve">18.3 </w:t>
      </w:r>
      <w:r>
        <w:rPr>
          <w:rFonts w:ascii="Arial" w:cs="Arial" w:eastAsia="Arial" w:hAnsi="Arial"/>
          <w:sz w:val="22"/>
          <w:szCs w:val="22"/>
          <w:color w:val="000000"/>
        </w:rPr>
        <w:t>SHL and Customer shall bear the sole responsibility for all compensation and benefits of their respective employees,</w:t>
      </w:r>
      <w:r>
        <w:rPr>
          <w:rFonts w:ascii="Arial" w:cs="Arial" w:eastAsia="Arial" w:hAnsi="Arial"/>
          <w:sz w:val="22"/>
          <w:szCs w:val="22"/>
          <w:color w:val="010000"/>
        </w:rPr>
        <w:t xml:space="preserve"> </w:t>
      </w:r>
      <w:r>
        <w:rPr>
          <w:rFonts w:ascii="Arial" w:cs="Arial" w:eastAsia="Arial" w:hAnsi="Arial"/>
          <w:sz w:val="22"/>
          <w:szCs w:val="22"/>
          <w:color w:val="000000"/>
        </w:rPr>
        <w:t>subcontractors, and agents.</w:t>
      </w:r>
    </w:p>
    <w:p>
      <w:pPr>
        <w:spacing w:after="0" w:line="168" w:lineRule="exact"/>
        <w:rPr>
          <w:rFonts w:ascii="Arial" w:cs="Arial" w:eastAsia="Arial" w:hAnsi="Arial"/>
          <w:sz w:val="22"/>
          <w:szCs w:val="22"/>
          <w:b w:val="1"/>
          <w:bCs w:val="1"/>
          <w:color w:val="010000"/>
        </w:rPr>
      </w:pPr>
    </w:p>
    <w:p>
      <w:pPr>
        <w:ind w:left="340" w:hanging="332"/>
        <w:spacing w:after="0"/>
        <w:tabs>
          <w:tab w:leader="none" w:pos="34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color w:val="auto"/>
        </w:rPr>
        <w:t>NO WAIVER</w:t>
      </w:r>
    </w:p>
    <w:p>
      <w:pPr>
        <w:spacing w:after="0" w:line="239" w:lineRule="exact"/>
        <w:rPr>
          <w:rFonts w:ascii="Arial" w:cs="Arial" w:eastAsia="Arial" w:hAnsi="Arial"/>
          <w:sz w:val="22"/>
          <w:szCs w:val="22"/>
          <w:b w:val="1"/>
          <w:bCs w:val="1"/>
          <w:color w:val="010000"/>
        </w:rPr>
      </w:pPr>
    </w:p>
    <w:p>
      <w:pPr>
        <w:jc w:val="both"/>
        <w:ind w:left="340"/>
        <w:spacing w:after="0" w:line="261" w:lineRule="auto"/>
        <w:rPr>
          <w:rFonts w:ascii="Arial" w:cs="Arial" w:eastAsia="Arial" w:hAnsi="Arial"/>
          <w:sz w:val="22"/>
          <w:szCs w:val="22"/>
          <w:b w:val="1"/>
          <w:bCs w:val="1"/>
          <w:color w:val="010000"/>
        </w:rPr>
      </w:pPr>
      <w:r>
        <w:rPr>
          <w:rFonts w:ascii="Arial" w:cs="Arial" w:eastAsia="Arial" w:hAnsi="Arial"/>
          <w:sz w:val="22"/>
          <w:szCs w:val="22"/>
          <w:color w:val="auto"/>
        </w:rPr>
        <w:t>The failure of either Party to require performance by the other Party of any of that other Party’s obligations hereunder shall in no manner affect the right of such Party to enforce the same at a later time. No waiver by any Party hereto of any condition, or of the breach of any provision, term, representation or warranty contained in this Agreement shall be deemed to be or construed as a further or continuing waiver of any such condition or breach, or of any other condition or of the breach of any other provision, term, representation, or warranty hereof.</w:t>
      </w:r>
    </w:p>
    <w:p>
      <w:pPr>
        <w:spacing w:after="0" w:line="185" w:lineRule="exact"/>
        <w:rPr>
          <w:rFonts w:ascii="Arial" w:cs="Arial" w:eastAsia="Arial" w:hAnsi="Arial"/>
          <w:sz w:val="22"/>
          <w:szCs w:val="22"/>
          <w:b w:val="1"/>
          <w:bCs w:val="1"/>
          <w:color w:val="010000"/>
        </w:rPr>
      </w:pPr>
    </w:p>
    <w:p>
      <w:pPr>
        <w:ind w:left="340" w:hanging="332"/>
        <w:spacing w:after="0"/>
        <w:tabs>
          <w:tab w:leader="none" w:pos="340" w:val="left"/>
        </w:tabs>
        <w:numPr>
          <w:ilvl w:val="0"/>
          <w:numId w:val="87"/>
        </w:numPr>
        <w:rPr>
          <w:rFonts w:ascii="Arial" w:cs="Arial" w:eastAsia="Arial" w:hAnsi="Arial"/>
          <w:sz w:val="22"/>
          <w:szCs w:val="22"/>
          <w:b w:val="1"/>
          <w:bCs w:val="1"/>
          <w:color w:val="010000"/>
        </w:rPr>
      </w:pPr>
      <w:r>
        <w:rPr>
          <w:rFonts w:ascii="Arial" w:cs="Arial" w:eastAsia="Arial" w:hAnsi="Arial"/>
          <w:sz w:val="22"/>
          <w:szCs w:val="22"/>
          <w:b w:val="1"/>
          <w:bCs w:val="1"/>
          <w:color w:val="auto"/>
        </w:rPr>
        <w:t>NOTICES</w:t>
      </w:r>
    </w:p>
    <w:p>
      <w:pPr>
        <w:spacing w:after="0" w:line="239" w:lineRule="exact"/>
        <w:rPr>
          <w:rFonts w:ascii="Arial" w:cs="Arial" w:eastAsia="Arial" w:hAnsi="Arial"/>
          <w:sz w:val="22"/>
          <w:szCs w:val="22"/>
          <w:b w:val="1"/>
          <w:bCs w:val="1"/>
          <w:color w:val="010000"/>
        </w:rPr>
      </w:pPr>
    </w:p>
    <w:p>
      <w:pPr>
        <w:jc w:val="both"/>
        <w:ind w:left="340"/>
        <w:spacing w:after="0" w:line="279" w:lineRule="auto"/>
        <w:rPr>
          <w:rFonts w:ascii="Arial" w:cs="Arial" w:eastAsia="Arial" w:hAnsi="Arial"/>
          <w:sz w:val="22"/>
          <w:szCs w:val="22"/>
          <w:b w:val="1"/>
          <w:bCs w:val="1"/>
          <w:color w:val="010000"/>
        </w:rPr>
      </w:pPr>
      <w:r>
        <w:rPr>
          <w:rFonts w:ascii="Arial" w:cs="Arial" w:eastAsia="Arial" w:hAnsi="Arial"/>
          <w:sz w:val="21"/>
          <w:szCs w:val="21"/>
          <w:color w:val="auto"/>
        </w:rPr>
        <w:t>Any notices given under this Agreement shall be in writing and shall be deemed delivered when received. Any notice under this Agreement shall be sent by: (i) first-class mail, postage prepaid; (ii) fax transmittal with confirming transmission; (hi) by electronic delivery with confirming transmission and receipt; (iv) courier; or (v) hand deliver)’; and addressed to the addresses shown below (or any other address as the Parties may notify each other in writing):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6" w:right="239" w:bottom="1440" w:gutter="0" w:footer="0" w:header="0"/>
        </w:sectPr>
      </w:pPr>
    </w:p>
    <w:bookmarkStart w:id="95" w:name="page96"/>
    <w:bookmarkEnd w:id="95"/>
    <w:p>
      <w:pPr>
        <w:ind w:left="220" w:right="220" w:firstLine="279"/>
        <w:spacing w:after="0" w:line="281" w:lineRule="auto"/>
        <w:tabs>
          <w:tab w:leader="none" w:pos="973"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ectPr>
          <w:pgSz w:w="11900" w:h="16838" w:orient="portrait"/>
          <w:cols w:equalWidth="0" w:num="1">
            <w:col w:w="11420"/>
          </w:cols>
          <w:pgMar w:left="240" w:top="1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For SHL</w:t>
      </w:r>
      <w:r>
        <w:rPr>
          <w:rFonts w:ascii="Arial" w:cs="Arial" w:eastAsia="Arial" w:hAnsi="Arial"/>
          <w:sz w:val="22"/>
          <w:szCs w:val="22"/>
          <w:color w:val="auto"/>
        </w:rPr>
        <w:t>:</w:t>
      </w:r>
    </w:p>
    <w:p>
      <w:pPr>
        <w:ind w:left="380"/>
        <w:spacing w:after="0" w:line="238" w:lineRule="auto"/>
        <w:rPr>
          <w:sz w:val="20"/>
          <w:szCs w:val="20"/>
          <w:color w:val="auto"/>
        </w:rPr>
      </w:pPr>
      <w:r>
        <w:rPr>
          <w:rFonts w:ascii="Arial" w:cs="Arial" w:eastAsia="Arial" w:hAnsi="Arial"/>
          <w:sz w:val="22"/>
          <w:szCs w:val="22"/>
          <w:color w:val="auto"/>
        </w:rPr>
        <w:t>SHL Pharma, LLC</w:t>
      </w:r>
    </w:p>
    <w:p>
      <w:pPr>
        <w:ind w:left="380"/>
        <w:spacing w:after="0" w:line="230" w:lineRule="auto"/>
        <w:rPr>
          <w:sz w:val="20"/>
          <w:szCs w:val="20"/>
          <w:color w:val="auto"/>
        </w:rPr>
      </w:pPr>
      <w:r>
        <w:rPr>
          <w:rFonts w:ascii="Arial" w:cs="Arial" w:eastAsia="Arial" w:hAnsi="Arial"/>
          <w:sz w:val="22"/>
          <w:szCs w:val="22"/>
          <w:color w:val="auto"/>
        </w:rPr>
        <w:t>588 Jim Moran Boulevard</w:t>
      </w:r>
    </w:p>
    <w:p>
      <w:pPr>
        <w:ind w:left="380"/>
        <w:spacing w:after="0" w:line="231" w:lineRule="auto"/>
        <w:rPr>
          <w:sz w:val="20"/>
          <w:szCs w:val="20"/>
          <w:color w:val="auto"/>
        </w:rPr>
      </w:pPr>
      <w:r>
        <w:rPr>
          <w:rFonts w:ascii="Arial" w:cs="Arial" w:eastAsia="Arial" w:hAnsi="Arial"/>
          <w:sz w:val="22"/>
          <w:szCs w:val="22"/>
          <w:color w:val="auto"/>
        </w:rPr>
        <w:t>Deerfield Beach, FL 333442</w:t>
      </w:r>
    </w:p>
    <w:p>
      <w:pPr>
        <w:spacing w:after="0" w:line="1" w:lineRule="exact"/>
        <w:rPr>
          <w:sz w:val="20"/>
          <w:szCs w:val="20"/>
          <w:color w:val="auto"/>
        </w:rPr>
      </w:pPr>
    </w:p>
    <w:p>
      <w:pPr>
        <w:ind w:left="380" w:right="1020"/>
        <w:spacing w:after="0" w:line="230" w:lineRule="auto"/>
        <w:rPr>
          <w:sz w:val="20"/>
          <w:szCs w:val="20"/>
          <w:color w:val="auto"/>
        </w:rPr>
      </w:pPr>
      <w:r>
        <w:rPr>
          <w:rFonts w:ascii="Arial" w:cs="Arial" w:eastAsia="Arial" w:hAnsi="Arial"/>
          <w:sz w:val="22"/>
          <w:szCs w:val="22"/>
          <w:color w:val="auto"/>
        </w:rPr>
        <w:t>Attention Peter Noolandi, Managing Director Phone +1954-725-2010</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Email: peter.noolandi@shl-group.com</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22"/>
          <w:szCs w:val="22"/>
          <w:i w:val="1"/>
          <w:iCs w:val="1"/>
          <w:color w:val="auto"/>
        </w:rPr>
        <w:t>with a copy to</w:t>
      </w:r>
      <w:r>
        <w:rPr>
          <w:rFonts w:ascii="Arial" w:cs="Arial" w:eastAsia="Arial" w:hAnsi="Arial"/>
          <w:sz w:val="22"/>
          <w:szCs w:val="22"/>
          <w:color w:val="auto"/>
        </w:rPr>
        <w:t>:</w:t>
      </w:r>
    </w:p>
    <w:p>
      <w:pPr>
        <w:ind w:left="380"/>
        <w:spacing w:after="0" w:line="238" w:lineRule="auto"/>
        <w:rPr>
          <w:sz w:val="20"/>
          <w:szCs w:val="20"/>
          <w:color w:val="auto"/>
        </w:rPr>
      </w:pPr>
      <w:r>
        <w:rPr>
          <w:rFonts w:ascii="Arial" w:cs="Arial" w:eastAsia="Arial" w:hAnsi="Arial"/>
          <w:sz w:val="22"/>
          <w:szCs w:val="22"/>
          <w:color w:val="auto"/>
        </w:rPr>
        <w:t>Scandanavian Health Limited</w:t>
      </w:r>
    </w:p>
    <w:p>
      <w:pPr>
        <w:ind w:left="380"/>
        <w:spacing w:after="0" w:line="230" w:lineRule="auto"/>
        <w:rPr>
          <w:sz w:val="20"/>
          <w:szCs w:val="20"/>
          <w:color w:val="auto"/>
        </w:rPr>
      </w:pPr>
      <w:r>
        <w:rPr>
          <w:rFonts w:ascii="Arial" w:cs="Arial" w:eastAsia="Arial" w:hAnsi="Arial"/>
          <w:sz w:val="22"/>
          <w:szCs w:val="22"/>
          <w:color w:val="auto"/>
        </w:rPr>
        <w:t>136 Guosheng 2nd Street</w:t>
      </w:r>
    </w:p>
    <w:p>
      <w:pPr>
        <w:ind w:left="380"/>
        <w:spacing w:after="0" w:line="231" w:lineRule="auto"/>
        <w:rPr>
          <w:sz w:val="20"/>
          <w:szCs w:val="20"/>
          <w:color w:val="auto"/>
        </w:rPr>
      </w:pPr>
      <w:r>
        <w:rPr>
          <w:rFonts w:ascii="Arial" w:cs="Arial" w:eastAsia="Arial" w:hAnsi="Arial"/>
          <w:sz w:val="22"/>
          <w:szCs w:val="22"/>
          <w:color w:val="auto"/>
        </w:rPr>
        <w:t>Taoyuan 33060</w:t>
      </w:r>
    </w:p>
    <w:p>
      <w:pPr>
        <w:ind w:left="380"/>
        <w:spacing w:after="0" w:line="231" w:lineRule="auto"/>
        <w:rPr>
          <w:sz w:val="20"/>
          <w:szCs w:val="20"/>
          <w:color w:val="auto"/>
        </w:rPr>
      </w:pPr>
      <w:r>
        <w:rPr>
          <w:rFonts w:ascii="Arial" w:cs="Arial" w:eastAsia="Arial" w:hAnsi="Arial"/>
          <w:sz w:val="22"/>
          <w:szCs w:val="22"/>
          <w:color w:val="auto"/>
        </w:rPr>
        <w:t>Taiwan, ROC</w:t>
      </w:r>
    </w:p>
    <w:p>
      <w:pPr>
        <w:ind w:left="380"/>
        <w:spacing w:after="0" w:line="230" w:lineRule="auto"/>
        <w:rPr>
          <w:sz w:val="20"/>
          <w:szCs w:val="20"/>
          <w:color w:val="auto"/>
        </w:rPr>
      </w:pPr>
      <w:r>
        <w:rPr>
          <w:rFonts w:ascii="Arial" w:cs="Arial" w:eastAsia="Arial" w:hAnsi="Arial"/>
          <w:sz w:val="22"/>
          <w:szCs w:val="22"/>
          <w:color w:val="auto"/>
        </w:rPr>
        <w:t>Attention: General Counsel</w:t>
      </w:r>
    </w:p>
    <w:p>
      <w:pPr>
        <w:ind w:left="380"/>
        <w:spacing w:after="0" w:line="231" w:lineRule="auto"/>
        <w:rPr>
          <w:sz w:val="20"/>
          <w:szCs w:val="20"/>
          <w:color w:val="auto"/>
        </w:rPr>
      </w:pPr>
      <w:r>
        <w:rPr>
          <w:rFonts w:ascii="Arial" w:cs="Arial" w:eastAsia="Arial" w:hAnsi="Arial"/>
          <w:sz w:val="22"/>
          <w:szCs w:val="22"/>
          <w:color w:val="auto"/>
        </w:rPr>
        <w:t>Phone: +886 3 217 0303</w:t>
      </w:r>
    </w:p>
    <w:p>
      <w:pPr>
        <w:ind w:left="380"/>
        <w:spacing w:after="0" w:line="231" w:lineRule="auto"/>
        <w:rPr>
          <w:sz w:val="20"/>
          <w:szCs w:val="20"/>
          <w:color w:val="auto"/>
        </w:rPr>
      </w:pPr>
      <w:r>
        <w:rPr>
          <w:rFonts w:ascii="Arial" w:cs="Arial" w:eastAsia="Arial" w:hAnsi="Arial"/>
          <w:sz w:val="22"/>
          <w:szCs w:val="22"/>
          <w:color w:val="auto"/>
        </w:rPr>
        <w:t>Fax: +866 3 217 4928</w:t>
      </w:r>
    </w:p>
    <w:p>
      <w:pPr>
        <w:ind w:left="38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legal.pharma@shl-group.com</w:t>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22"/>
          <w:szCs w:val="22"/>
          <w:b w:val="1"/>
          <w:bCs w:val="1"/>
          <w:color w:val="010000"/>
        </w:rPr>
      </w:pPr>
      <w:r>
        <w:rPr>
          <w:rFonts w:ascii="Arial" w:cs="Arial" w:eastAsia="Arial" w:hAnsi="Arial"/>
          <w:sz w:val="22"/>
          <w:szCs w:val="22"/>
          <w:b w:val="1"/>
          <w:bCs w:val="1"/>
          <w:color w:val="auto"/>
        </w:rPr>
        <w:t>GOVERNING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 Customer</w:t>
      </w: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Xeris Pharmaceuticals, Inc.</w:t>
      </w:r>
    </w:p>
    <w:p>
      <w:pPr>
        <w:spacing w:after="0" w:line="230" w:lineRule="auto"/>
        <w:rPr>
          <w:sz w:val="20"/>
          <w:szCs w:val="20"/>
          <w:color w:val="auto"/>
        </w:rPr>
      </w:pPr>
      <w:r>
        <w:rPr>
          <w:rFonts w:ascii="Arial" w:cs="Arial" w:eastAsia="Arial" w:hAnsi="Arial"/>
          <w:sz w:val="22"/>
          <w:szCs w:val="22"/>
          <w:color w:val="auto"/>
        </w:rPr>
        <w:t>180 N. LaSelle Street, Suite 1800</w:t>
      </w:r>
    </w:p>
    <w:p>
      <w:pPr>
        <w:spacing w:after="0" w:line="231" w:lineRule="auto"/>
        <w:rPr>
          <w:sz w:val="20"/>
          <w:szCs w:val="20"/>
          <w:color w:val="auto"/>
        </w:rPr>
      </w:pPr>
      <w:r>
        <w:rPr>
          <w:rFonts w:ascii="Arial" w:cs="Arial" w:eastAsia="Arial" w:hAnsi="Arial"/>
          <w:sz w:val="22"/>
          <w:szCs w:val="22"/>
          <w:color w:val="auto"/>
        </w:rPr>
        <w:t>Chicago, Illinois 60601</w:t>
      </w:r>
    </w:p>
    <w:p>
      <w:pPr>
        <w:spacing w:after="0" w:line="231" w:lineRule="auto"/>
        <w:rPr>
          <w:sz w:val="20"/>
          <w:szCs w:val="20"/>
          <w:color w:val="auto"/>
        </w:rPr>
      </w:pPr>
      <w:r>
        <w:rPr>
          <w:rFonts w:ascii="Arial" w:cs="Arial" w:eastAsia="Arial" w:hAnsi="Arial"/>
          <w:sz w:val="22"/>
          <w:szCs w:val="22"/>
          <w:color w:val="auto"/>
        </w:rPr>
        <w:t>Attention: John Shannon</w:t>
      </w:r>
    </w:p>
    <w:p>
      <w:pPr>
        <w:spacing w:after="0"/>
        <w:rPr>
          <w:sz w:val="20"/>
          <w:szCs w:val="20"/>
          <w:color w:val="auto"/>
        </w:rPr>
      </w:pPr>
      <w:r>
        <w:rPr>
          <w:rFonts w:ascii="Arial" w:cs="Arial" w:eastAsia="Arial" w:hAnsi="Arial"/>
          <w:sz w:val="21"/>
          <w:szCs w:val="21"/>
          <w:color w:val="auto"/>
        </w:rPr>
        <w:t xml:space="preserve">Email: </w:t>
      </w:r>
      <w:r>
        <w:rPr>
          <w:rFonts w:ascii="Arial" w:cs="Arial" w:eastAsia="Arial" w:hAnsi="Arial"/>
          <w:sz w:val="21"/>
          <w:szCs w:val="21"/>
          <w:u w:val="single" w:color="auto"/>
          <w:color w:val="0000FF"/>
        </w:rPr>
        <w:t>JShannon@xerispharma.com</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With a copy to</w:t>
      </w: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Attention: Roger Keding</w:t>
      </w:r>
    </w:p>
    <w:p>
      <w:pPr>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Rkeding@xerispharma.com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to</w:t>
      </w:r>
      <w:r>
        <w:rPr>
          <w:rFonts w:ascii="Arial" w:cs="Arial" w:eastAsia="Arial" w:hAnsi="Arial"/>
          <w:sz w:val="22"/>
          <w:szCs w:val="22"/>
          <w:color w:val="auto"/>
        </w:rPr>
        <w:t>:</w:t>
      </w:r>
    </w:p>
    <w:p>
      <w:pPr>
        <w:spacing w:after="0" w:line="238" w:lineRule="auto"/>
        <w:rPr>
          <w:sz w:val="20"/>
          <w:szCs w:val="20"/>
          <w:color w:val="auto"/>
        </w:rPr>
      </w:pPr>
      <w:r>
        <w:rPr>
          <w:rFonts w:ascii="Arial" w:cs="Arial" w:eastAsia="Arial" w:hAnsi="Arial"/>
          <w:sz w:val="22"/>
          <w:szCs w:val="22"/>
          <w:color w:val="auto"/>
        </w:rPr>
        <w:t>Shearman &amp; Sterling LLP</w:t>
      </w:r>
    </w:p>
    <w:p>
      <w:pPr>
        <w:spacing w:after="0" w:line="230" w:lineRule="auto"/>
        <w:rPr>
          <w:sz w:val="20"/>
          <w:szCs w:val="20"/>
          <w:color w:val="auto"/>
        </w:rPr>
      </w:pPr>
      <w:r>
        <w:rPr>
          <w:rFonts w:ascii="Arial" w:cs="Arial" w:eastAsia="Arial" w:hAnsi="Arial"/>
          <w:sz w:val="22"/>
          <w:szCs w:val="22"/>
          <w:color w:val="auto"/>
        </w:rPr>
        <w:t>111 Congress Avenue</w:t>
      </w:r>
    </w:p>
    <w:p>
      <w:pPr>
        <w:spacing w:after="0" w:line="231" w:lineRule="auto"/>
        <w:rPr>
          <w:sz w:val="20"/>
          <w:szCs w:val="20"/>
          <w:color w:val="auto"/>
        </w:rPr>
      </w:pPr>
      <w:r>
        <w:rPr>
          <w:rFonts w:ascii="Arial" w:cs="Arial" w:eastAsia="Arial" w:hAnsi="Arial"/>
          <w:sz w:val="22"/>
          <w:szCs w:val="22"/>
          <w:color w:val="auto"/>
        </w:rPr>
        <w:t>Austin, TX 78701</w:t>
      </w:r>
    </w:p>
    <w:p>
      <w:pPr>
        <w:spacing w:after="0" w:line="231" w:lineRule="auto"/>
        <w:rPr>
          <w:sz w:val="20"/>
          <w:szCs w:val="20"/>
          <w:color w:val="auto"/>
        </w:rPr>
      </w:pPr>
      <w:r>
        <w:rPr>
          <w:rFonts w:ascii="Arial" w:cs="Arial" w:eastAsia="Arial" w:hAnsi="Arial"/>
          <w:sz w:val="22"/>
          <w:szCs w:val="22"/>
          <w:color w:val="auto"/>
        </w:rPr>
        <w:t>Attn: Cassandra Cuellar, Esq.</w:t>
      </w:r>
    </w:p>
    <w:p>
      <w:pPr>
        <w:spacing w:after="0"/>
        <w:rPr>
          <w:sz w:val="20"/>
          <w:szCs w:val="20"/>
          <w:color w:val="auto"/>
        </w:rPr>
      </w:pPr>
      <w:r>
        <w:rPr>
          <w:rFonts w:ascii="Arial" w:cs="Arial" w:eastAsia="Arial" w:hAnsi="Arial"/>
          <w:sz w:val="19"/>
          <w:szCs w:val="19"/>
          <w:color w:val="auto"/>
        </w:rPr>
        <w:t>Email: Cassandracuelar@shearman.com</w:t>
      </w:r>
    </w:p>
    <w:p>
      <w:pPr>
        <w:spacing w:after="0" w:line="966" w:lineRule="exact"/>
        <w:rPr>
          <w:sz w:val="20"/>
          <w:szCs w:val="20"/>
          <w:color w:val="auto"/>
        </w:rPr>
      </w:pPr>
    </w:p>
    <w:p>
      <w:pPr>
        <w:sectPr>
          <w:pgSz w:w="11900" w:h="16838" w:orient="portrait"/>
          <w:cols w:equalWidth="0" w:num="2">
            <w:col w:w="5320" w:space="720"/>
            <w:col w:w="5380"/>
          </w:cols>
          <w:pgMar w:left="240" w:top="136" w:right="239" w:bottom="1440" w:gutter="0" w:footer="0" w:header="0"/>
          <w:type w:val="continuous"/>
        </w:sectPr>
      </w:pPr>
    </w:p>
    <w:p>
      <w:pPr>
        <w:spacing w:after="0" w:line="39" w:lineRule="exact"/>
        <w:rPr>
          <w:sz w:val="20"/>
          <w:szCs w:val="20"/>
          <w:color w:val="auto"/>
        </w:rPr>
      </w:pPr>
    </w:p>
    <w:p>
      <w:pPr>
        <w:ind w:left="340"/>
        <w:spacing w:after="0" w:line="276" w:lineRule="auto"/>
        <w:rPr>
          <w:sz w:val="20"/>
          <w:szCs w:val="20"/>
          <w:color w:val="auto"/>
        </w:rPr>
      </w:pPr>
      <w:r>
        <w:rPr>
          <w:rFonts w:ascii="Arial" w:cs="Arial" w:eastAsia="Arial" w:hAnsi="Arial"/>
          <w:sz w:val="22"/>
          <w:szCs w:val="22"/>
          <w:color w:val="auto"/>
        </w:rPr>
        <w:t>This Agreement shall be governed by and construed in accordance with the laws of the state of New York without regard to choice of law provisions.</w:t>
      </w:r>
    </w:p>
    <w:p>
      <w:pPr>
        <w:spacing w:after="0" w:line="168" w:lineRule="exact"/>
        <w:rPr>
          <w:sz w:val="20"/>
          <w:szCs w:val="20"/>
          <w:color w:val="auto"/>
        </w:rPr>
      </w:pPr>
    </w:p>
    <w:p>
      <w:pPr>
        <w:ind w:left="340" w:hanging="332"/>
        <w:spacing w:after="0"/>
        <w:tabs>
          <w:tab w:leader="none" w:pos="340" w:val="left"/>
        </w:tabs>
        <w:numPr>
          <w:ilvl w:val="0"/>
          <w:numId w:val="90"/>
        </w:numPr>
        <w:rPr>
          <w:rFonts w:ascii="Arial" w:cs="Arial" w:eastAsia="Arial" w:hAnsi="Arial"/>
          <w:sz w:val="22"/>
          <w:szCs w:val="22"/>
          <w:b w:val="1"/>
          <w:bCs w:val="1"/>
          <w:color w:val="010000"/>
        </w:rPr>
      </w:pPr>
      <w:r>
        <w:rPr>
          <w:rFonts w:ascii="Arial" w:cs="Arial" w:eastAsia="Arial" w:hAnsi="Arial"/>
          <w:sz w:val="22"/>
          <w:szCs w:val="22"/>
          <w:b w:val="1"/>
          <w:bCs w:val="1"/>
          <w:color w:val="auto"/>
        </w:rPr>
        <w:t>DISPUTE RESOLUTION</w:t>
      </w:r>
    </w:p>
    <w:p>
      <w:pPr>
        <w:spacing w:after="0" w:line="239" w:lineRule="exact"/>
        <w:rPr>
          <w:rFonts w:ascii="Arial" w:cs="Arial" w:eastAsia="Arial" w:hAnsi="Arial"/>
          <w:sz w:val="22"/>
          <w:szCs w:val="22"/>
          <w:b w:val="1"/>
          <w:bCs w:val="1"/>
          <w:color w:val="010000"/>
        </w:rPr>
      </w:pPr>
    </w:p>
    <w:p>
      <w:pPr>
        <w:jc w:val="both"/>
        <w:ind w:left="340"/>
        <w:spacing w:after="0" w:line="261" w:lineRule="auto"/>
        <w:rPr>
          <w:rFonts w:ascii="Arial" w:cs="Arial" w:eastAsia="Arial" w:hAnsi="Arial"/>
          <w:sz w:val="22"/>
          <w:szCs w:val="22"/>
          <w:b w:val="1"/>
          <w:bCs w:val="1"/>
          <w:color w:val="010000"/>
        </w:rPr>
      </w:pPr>
      <w:r>
        <w:rPr>
          <w:rFonts w:ascii="Arial" w:cs="Arial" w:eastAsia="Arial" w:hAnsi="Arial"/>
          <w:sz w:val="22"/>
          <w:szCs w:val="22"/>
          <w:color w:val="auto"/>
        </w:rPr>
        <w:t>If any dispute arises between the Parties hereto relating to this Agreement, they agree to promptly enter into negotiations by and between executives with full authority to settle such dispute within [***] following delivery of written notice of such dispute. If the executives cannot resolve the dispute, then either Party can resort and seek judicial remedy with venue of the dispute vested in the state courts of New York City, New York. The Parties hereby consent to the personal and exclusive Jurisdiction and venue of these courts.</w:t>
      </w:r>
    </w:p>
    <w:p>
      <w:pPr>
        <w:spacing w:after="0" w:line="185" w:lineRule="exact"/>
        <w:rPr>
          <w:rFonts w:ascii="Arial" w:cs="Arial" w:eastAsia="Arial" w:hAnsi="Arial"/>
          <w:sz w:val="22"/>
          <w:szCs w:val="22"/>
          <w:b w:val="1"/>
          <w:bCs w:val="1"/>
          <w:color w:val="010000"/>
        </w:rPr>
      </w:pPr>
    </w:p>
    <w:p>
      <w:pPr>
        <w:ind w:left="340" w:hanging="332"/>
        <w:spacing w:after="0"/>
        <w:tabs>
          <w:tab w:leader="none" w:pos="340" w:val="left"/>
        </w:tabs>
        <w:numPr>
          <w:ilvl w:val="0"/>
          <w:numId w:val="90"/>
        </w:numPr>
        <w:rPr>
          <w:rFonts w:ascii="Arial" w:cs="Arial" w:eastAsia="Arial" w:hAnsi="Arial"/>
          <w:sz w:val="22"/>
          <w:szCs w:val="22"/>
          <w:b w:val="1"/>
          <w:bCs w:val="1"/>
          <w:color w:val="010000"/>
        </w:rPr>
      </w:pPr>
      <w:r>
        <w:rPr>
          <w:rFonts w:ascii="Arial" w:cs="Arial" w:eastAsia="Arial" w:hAnsi="Arial"/>
          <w:sz w:val="22"/>
          <w:szCs w:val="22"/>
          <w:b w:val="1"/>
          <w:bCs w:val="1"/>
          <w:color w:val="auto"/>
        </w:rPr>
        <w:t>FORCE MAJEURE</w:t>
      </w:r>
    </w:p>
    <w:p>
      <w:pPr>
        <w:spacing w:after="0" w:line="239" w:lineRule="exact"/>
        <w:rPr>
          <w:rFonts w:ascii="Arial" w:cs="Arial" w:eastAsia="Arial" w:hAnsi="Arial"/>
          <w:sz w:val="22"/>
          <w:szCs w:val="22"/>
          <w:b w:val="1"/>
          <w:bCs w:val="1"/>
          <w:color w:val="010000"/>
        </w:rPr>
      </w:pPr>
    </w:p>
    <w:p>
      <w:pPr>
        <w:jc w:val="both"/>
        <w:ind w:left="340"/>
        <w:spacing w:after="0" w:line="306" w:lineRule="auto"/>
        <w:rPr>
          <w:rFonts w:ascii="Arial" w:cs="Arial" w:eastAsia="Arial" w:hAnsi="Arial"/>
          <w:sz w:val="22"/>
          <w:szCs w:val="22"/>
          <w:b w:val="1"/>
          <w:bCs w:val="1"/>
          <w:color w:val="010000"/>
        </w:rPr>
      </w:pPr>
      <w:r>
        <w:rPr>
          <w:rFonts w:ascii="Arial" w:cs="Arial" w:eastAsia="Arial" w:hAnsi="Arial"/>
          <w:sz w:val="19"/>
          <w:szCs w:val="19"/>
          <w:color w:val="auto"/>
        </w:rPr>
        <w:t>No Party shall be liable for a failure or delay in performing any of its obligations under this Agreement if, and only to the extent that, such failure or delay results from causes beyond the reasonable control of the affected Party, including but not limited to acts of God, earthquakes, floods, fires, typhoons, tornados, disruptions of essential services and utilities, strikes, epidemics, war, acts of terrorism, riots, sabotage, or other occurrence which is beyond the control of the Party making the claim (a “Force Majeure Event”). The Party claiming a Force Majeure Event must provide prompt written notice to the other Party of the Force Majeure Event. Such non-performance will be excused for [***] or longer if by written agreement between the Parties; the Party claiming a Force Majeure Event shall exercise ah reasonable efforts to eliminate or</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6" w:right="239" w:bottom="1440" w:gutter="0" w:footer="0" w:header="0"/>
          <w:type w:val="continuous"/>
        </w:sectPr>
      </w:pPr>
    </w:p>
    <w:bookmarkStart w:id="96" w:name="page97"/>
    <w:bookmarkEnd w:id="96"/>
    <w:p>
      <w:pPr>
        <w:ind w:left="220" w:right="220" w:firstLine="279"/>
        <w:spacing w:after="0" w:line="281" w:lineRule="auto"/>
        <w:tabs>
          <w:tab w:leader="none" w:pos="973" w:val="left"/>
        </w:tabs>
        <w:numPr>
          <w:ilvl w:val="0"/>
          <w:numId w:val="91"/>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limit the effects of a Force Majeure Event and to resume performance of its affected obligations as soon as practicable.</w:t>
      </w:r>
    </w:p>
    <w:p>
      <w:pPr>
        <w:spacing w:after="0" w:line="239"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ASSIGNMENT</w:t>
      </w:r>
    </w:p>
    <w:p>
      <w:pPr>
        <w:spacing w:after="0" w:line="239" w:lineRule="exact"/>
        <w:rPr>
          <w:rFonts w:ascii="Arial" w:cs="Arial" w:eastAsia="Arial" w:hAnsi="Arial"/>
          <w:sz w:val="22"/>
          <w:szCs w:val="22"/>
          <w:b w:val="1"/>
          <w:bCs w:val="1"/>
          <w:color w:val="010000"/>
        </w:rPr>
      </w:pPr>
    </w:p>
    <w:p>
      <w:pPr>
        <w:ind w:left="980" w:hanging="648"/>
        <w:spacing w:after="0" w:line="261" w:lineRule="auto"/>
        <w:rPr>
          <w:rFonts w:ascii="Arial" w:cs="Arial" w:eastAsia="Arial" w:hAnsi="Arial"/>
          <w:sz w:val="22"/>
          <w:szCs w:val="22"/>
          <w:b w:val="1"/>
          <w:bCs w:val="1"/>
          <w:color w:val="010000"/>
        </w:rPr>
      </w:pPr>
      <w:r>
        <w:rPr>
          <w:rFonts w:ascii="Arial" w:cs="Arial" w:eastAsia="Arial" w:hAnsi="Arial"/>
          <w:sz w:val="22"/>
          <w:szCs w:val="22"/>
          <w:color w:val="010000"/>
        </w:rPr>
        <w:t xml:space="preserve">24.1 </w:t>
      </w:r>
      <w:r>
        <w:rPr>
          <w:rFonts w:ascii="Arial" w:cs="Arial" w:eastAsia="Arial" w:hAnsi="Arial"/>
          <w:sz w:val="22"/>
          <w:szCs w:val="22"/>
          <w:color w:val="000000"/>
        </w:rPr>
        <w:t>No Party may assign this Agreement, in whole or in part, to any third party without the consent of the other, which shall</w:t>
      </w:r>
      <w:r>
        <w:rPr>
          <w:rFonts w:ascii="Arial" w:cs="Arial" w:eastAsia="Arial" w:hAnsi="Arial"/>
          <w:sz w:val="22"/>
          <w:szCs w:val="22"/>
          <w:color w:val="010000"/>
        </w:rPr>
        <w:t xml:space="preserve"> </w:t>
      </w:r>
      <w:r>
        <w:rPr>
          <w:rFonts w:ascii="Arial" w:cs="Arial" w:eastAsia="Arial" w:hAnsi="Arial"/>
          <w:sz w:val="22"/>
          <w:szCs w:val="22"/>
          <w:color w:val="000000"/>
        </w:rPr>
        <w:t>not be unreasonably withheld, except that Customer may assign this Agreement in connection with the sale of all or substantially all of its assets or Product assets. The Parties’ Affiliates shall not be considered third parties for the purposes of this section. No assignment of this Agreement under this section may relieve the assigning Party of its obligations under this Agreement.</w:t>
      </w:r>
    </w:p>
    <w:p>
      <w:pPr>
        <w:spacing w:after="0" w:line="191" w:lineRule="exact"/>
        <w:rPr>
          <w:rFonts w:ascii="Arial" w:cs="Arial" w:eastAsia="Arial" w:hAnsi="Arial"/>
          <w:sz w:val="22"/>
          <w:szCs w:val="22"/>
          <w:b w:val="1"/>
          <w:bCs w:val="1"/>
          <w:color w:val="010000"/>
        </w:rPr>
      </w:pPr>
    </w:p>
    <w:p>
      <w:pPr>
        <w:ind w:left="980" w:right="20" w:hanging="648"/>
        <w:spacing w:after="0" w:line="276" w:lineRule="auto"/>
        <w:rPr>
          <w:rFonts w:ascii="Arial" w:cs="Arial" w:eastAsia="Arial" w:hAnsi="Arial"/>
          <w:sz w:val="22"/>
          <w:szCs w:val="22"/>
          <w:b w:val="1"/>
          <w:bCs w:val="1"/>
          <w:color w:val="010000"/>
        </w:rPr>
      </w:pPr>
      <w:r>
        <w:rPr>
          <w:rFonts w:ascii="Arial" w:cs="Arial" w:eastAsia="Arial" w:hAnsi="Arial"/>
          <w:sz w:val="22"/>
          <w:szCs w:val="22"/>
          <w:color w:val="010000"/>
        </w:rPr>
        <w:t xml:space="preserve">24.2 </w:t>
      </w:r>
      <w:r>
        <w:rPr>
          <w:rFonts w:ascii="Arial" w:cs="Arial" w:eastAsia="Arial" w:hAnsi="Arial"/>
          <w:sz w:val="22"/>
          <w:szCs w:val="22"/>
          <w:color w:val="000000"/>
        </w:rPr>
        <w:t>The terms and conditions of this Agreement shall be binding upon, and shall inure to the benefits of, the Parties hereto</w:t>
      </w:r>
      <w:r>
        <w:rPr>
          <w:rFonts w:ascii="Arial" w:cs="Arial" w:eastAsia="Arial" w:hAnsi="Arial"/>
          <w:sz w:val="22"/>
          <w:szCs w:val="22"/>
          <w:color w:val="010000"/>
        </w:rPr>
        <w:t xml:space="preserve"> </w:t>
      </w:r>
      <w:r>
        <w:rPr>
          <w:rFonts w:ascii="Arial" w:cs="Arial" w:eastAsia="Arial" w:hAnsi="Arial"/>
          <w:sz w:val="22"/>
          <w:szCs w:val="22"/>
          <w:color w:val="000000"/>
        </w:rPr>
        <w:t>and their respective permitted successors and assigns.</w:t>
      </w:r>
    </w:p>
    <w:p>
      <w:pPr>
        <w:spacing w:after="0" w:line="168" w:lineRule="exact"/>
        <w:rPr>
          <w:rFonts w:ascii="Arial" w:cs="Arial" w:eastAsia="Arial" w:hAnsi="Arial"/>
          <w:sz w:val="22"/>
          <w:szCs w:val="22"/>
          <w:b w:val="1"/>
          <w:bCs w:val="1"/>
          <w:color w:val="010000"/>
        </w:rPr>
      </w:pPr>
    </w:p>
    <w:p>
      <w:pPr>
        <w:ind w:left="340" w:hanging="332"/>
        <w:spacing w:after="0"/>
        <w:tabs>
          <w:tab w:leader="none" w:pos="34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REMEDIES</w:t>
      </w:r>
    </w:p>
    <w:p>
      <w:pPr>
        <w:spacing w:after="0" w:line="239" w:lineRule="exact"/>
        <w:rPr>
          <w:rFonts w:ascii="Arial" w:cs="Arial" w:eastAsia="Arial" w:hAnsi="Arial"/>
          <w:sz w:val="22"/>
          <w:szCs w:val="22"/>
          <w:b w:val="1"/>
          <w:bCs w:val="1"/>
          <w:color w:val="010000"/>
        </w:rPr>
      </w:pPr>
    </w:p>
    <w:p>
      <w:pPr>
        <w:ind w:left="340"/>
        <w:spacing w:after="0" w:line="276" w:lineRule="auto"/>
        <w:rPr>
          <w:rFonts w:ascii="Arial" w:cs="Arial" w:eastAsia="Arial" w:hAnsi="Arial"/>
          <w:sz w:val="22"/>
          <w:szCs w:val="22"/>
          <w:b w:val="1"/>
          <w:bCs w:val="1"/>
          <w:color w:val="010000"/>
        </w:rPr>
      </w:pPr>
      <w:r>
        <w:rPr>
          <w:rFonts w:ascii="Arial" w:cs="Arial" w:eastAsia="Arial" w:hAnsi="Arial"/>
          <w:sz w:val="22"/>
          <w:szCs w:val="22"/>
          <w:color w:val="auto"/>
        </w:rPr>
        <w:t>Except as otherwise expressly provided herein, the remedies accorded to die Parties under this Agreement are cumulative and in addition to those provided by law, in equity or elsewhere in this Agreement.</w:t>
      </w:r>
    </w:p>
    <w:p>
      <w:pPr>
        <w:spacing w:after="0" w:line="168" w:lineRule="exact"/>
        <w:rPr>
          <w:rFonts w:ascii="Arial" w:cs="Arial" w:eastAsia="Arial" w:hAnsi="Arial"/>
          <w:sz w:val="22"/>
          <w:szCs w:val="22"/>
          <w:b w:val="1"/>
          <w:bCs w:val="1"/>
          <w:color w:val="010000"/>
        </w:rPr>
      </w:pPr>
    </w:p>
    <w:p>
      <w:pPr>
        <w:ind w:left="340" w:hanging="332"/>
        <w:spacing w:after="0"/>
        <w:tabs>
          <w:tab w:leader="none" w:pos="34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COUNTERPARTS</w:t>
      </w:r>
    </w:p>
    <w:p>
      <w:pPr>
        <w:spacing w:after="0" w:line="239" w:lineRule="exact"/>
        <w:rPr>
          <w:rFonts w:ascii="Arial" w:cs="Arial" w:eastAsia="Arial" w:hAnsi="Arial"/>
          <w:sz w:val="22"/>
          <w:szCs w:val="22"/>
          <w:b w:val="1"/>
          <w:bCs w:val="1"/>
          <w:color w:val="010000"/>
        </w:rPr>
      </w:pPr>
    </w:p>
    <w:p>
      <w:pPr>
        <w:jc w:val="both"/>
        <w:ind w:left="340"/>
        <w:spacing w:after="0" w:line="263" w:lineRule="auto"/>
        <w:rPr>
          <w:rFonts w:ascii="Arial" w:cs="Arial" w:eastAsia="Arial" w:hAnsi="Arial"/>
          <w:sz w:val="22"/>
          <w:szCs w:val="22"/>
          <w:b w:val="1"/>
          <w:bCs w:val="1"/>
          <w:color w:val="010000"/>
        </w:rPr>
      </w:pPr>
      <w:r>
        <w:rPr>
          <w:rFonts w:ascii="Arial" w:cs="Arial" w:eastAsia="Arial" w:hAnsi="Arial"/>
          <w:sz w:val="22"/>
          <w:szCs w:val="22"/>
          <w:color w:val="auto"/>
        </w:rPr>
        <w:t>This Agreement may be executed in one or more counterparts, each of which when executed and delivered will be deemed an original and all of which together will constitute one and the same agreement. A signed copy of this Agreement delivered by facsimile, e-mail or other means of electronic transmission is deemed to have the same legal effect as delivery of an original signed copy of this Agreement.</w:t>
      </w:r>
    </w:p>
    <w:p>
      <w:pPr>
        <w:spacing w:after="0" w:line="181" w:lineRule="exact"/>
        <w:rPr>
          <w:rFonts w:ascii="Arial" w:cs="Arial" w:eastAsia="Arial" w:hAnsi="Arial"/>
          <w:sz w:val="22"/>
          <w:szCs w:val="22"/>
          <w:b w:val="1"/>
          <w:bCs w:val="1"/>
          <w:color w:val="010000"/>
        </w:rPr>
      </w:pPr>
    </w:p>
    <w:p>
      <w:pPr>
        <w:ind w:left="340" w:hanging="332"/>
        <w:spacing w:after="0"/>
        <w:tabs>
          <w:tab w:leader="none" w:pos="34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ELECTRONIC SIGNATURE</w:t>
      </w:r>
    </w:p>
    <w:p>
      <w:pPr>
        <w:spacing w:after="0" w:line="239" w:lineRule="exact"/>
        <w:rPr>
          <w:rFonts w:ascii="Arial" w:cs="Arial" w:eastAsia="Arial" w:hAnsi="Arial"/>
          <w:sz w:val="22"/>
          <w:szCs w:val="22"/>
          <w:b w:val="1"/>
          <w:bCs w:val="1"/>
          <w:color w:val="010000"/>
        </w:rPr>
      </w:pPr>
    </w:p>
    <w:p>
      <w:pPr>
        <w:ind w:left="340"/>
        <w:spacing w:after="0" w:line="301" w:lineRule="auto"/>
        <w:rPr>
          <w:rFonts w:ascii="Arial" w:cs="Arial" w:eastAsia="Arial" w:hAnsi="Arial"/>
          <w:sz w:val="22"/>
          <w:szCs w:val="22"/>
          <w:b w:val="1"/>
          <w:bCs w:val="1"/>
          <w:color w:val="010000"/>
        </w:rPr>
      </w:pPr>
      <w:r>
        <w:rPr>
          <w:rFonts w:ascii="Arial" w:cs="Arial" w:eastAsia="Arial" w:hAnsi="Arial"/>
          <w:sz w:val="21"/>
          <w:szCs w:val="21"/>
          <w:color w:val="auto"/>
        </w:rPr>
        <w:t>The Parties agree that this Agreement may be electrically signed and that the electronic signatures appearing on this Agreement are the same as handwritten signatures for the purposes of validity, enforceability, and admissibility.</w:t>
      </w:r>
    </w:p>
    <w:p>
      <w:pPr>
        <w:spacing w:after="0" w:line="144" w:lineRule="exact"/>
        <w:rPr>
          <w:rFonts w:ascii="Arial" w:cs="Arial" w:eastAsia="Arial" w:hAnsi="Arial"/>
          <w:sz w:val="22"/>
          <w:szCs w:val="22"/>
          <w:b w:val="1"/>
          <w:bCs w:val="1"/>
          <w:color w:val="010000"/>
        </w:rPr>
      </w:pPr>
    </w:p>
    <w:p>
      <w:pPr>
        <w:ind w:left="340" w:hanging="332"/>
        <w:spacing w:after="0"/>
        <w:tabs>
          <w:tab w:leader="none" w:pos="340" w:val="left"/>
        </w:tabs>
        <w:numPr>
          <w:ilvl w:val="0"/>
          <w:numId w:val="92"/>
        </w:numPr>
        <w:rPr>
          <w:rFonts w:ascii="Arial" w:cs="Arial" w:eastAsia="Arial" w:hAnsi="Arial"/>
          <w:sz w:val="22"/>
          <w:szCs w:val="22"/>
          <w:b w:val="1"/>
          <w:bCs w:val="1"/>
          <w:color w:val="010000"/>
        </w:rPr>
      </w:pPr>
      <w:r>
        <w:rPr>
          <w:rFonts w:ascii="Arial" w:cs="Arial" w:eastAsia="Arial" w:hAnsi="Arial"/>
          <w:sz w:val="22"/>
          <w:szCs w:val="22"/>
          <w:b w:val="1"/>
          <w:bCs w:val="1"/>
          <w:color w:val="auto"/>
        </w:rPr>
        <w:t>ENTIRE AGREEMENT</w:t>
      </w:r>
    </w:p>
    <w:p>
      <w:pPr>
        <w:spacing w:after="0" w:line="239" w:lineRule="exact"/>
        <w:rPr>
          <w:rFonts w:ascii="Arial" w:cs="Arial" w:eastAsia="Arial" w:hAnsi="Arial"/>
          <w:sz w:val="22"/>
          <w:szCs w:val="22"/>
          <w:b w:val="1"/>
          <w:bCs w:val="1"/>
          <w:color w:val="010000"/>
        </w:rPr>
      </w:pPr>
    </w:p>
    <w:p>
      <w:pPr>
        <w:jc w:val="both"/>
        <w:ind w:left="340"/>
        <w:spacing w:after="0" w:line="261" w:lineRule="auto"/>
        <w:rPr>
          <w:rFonts w:ascii="Arial" w:cs="Arial" w:eastAsia="Arial" w:hAnsi="Arial"/>
          <w:sz w:val="22"/>
          <w:szCs w:val="22"/>
          <w:b w:val="1"/>
          <w:bCs w:val="1"/>
          <w:color w:val="010000"/>
        </w:rPr>
      </w:pPr>
      <w:r>
        <w:rPr>
          <w:rFonts w:ascii="Arial" w:cs="Arial" w:eastAsia="Arial" w:hAnsi="Arial"/>
          <w:sz w:val="22"/>
          <w:szCs w:val="22"/>
          <w:color w:val="auto"/>
        </w:rPr>
        <w:t>This Agreement, the appendixes attached hereto, and the Quality Agreements constitute the entire agreement between the Parties concerning the subject matter contained in this Agreement and supersede all written or oral prior agreements or understanding with respect thereto. No variation or modification of any of the terms or appendixes of this Agreement or any waiver of the terms or provisions hereof shall be valid unless in writing and signed by an authorized representative of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6" w:right="239" w:bottom="1440" w:gutter="0" w:footer="0" w:header="0"/>
        </w:sectPr>
      </w:pPr>
    </w:p>
    <w:bookmarkStart w:id="97" w:name="page98"/>
    <w:bookmarkEnd w:id="97"/>
    <w:p>
      <w:pPr>
        <w:ind w:left="220" w:firstLine="279"/>
        <w:spacing w:after="0" w:line="281" w:lineRule="auto"/>
        <w:tabs>
          <w:tab w:leader="none" w:pos="973"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22"/>
          <w:szCs w:val="22"/>
          <w:i w:val="1"/>
          <w:iCs w:val="1"/>
          <w:color w:val="auto"/>
        </w:rPr>
        <w:t>Signatures begin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136" w:right="459" w:bottom="1440" w:gutter="0" w:footer="0" w:header="0"/>
        </w:sectPr>
      </w:pPr>
    </w:p>
    <w:bookmarkStart w:id="98" w:name="page99"/>
    <w:bookmarkEnd w:id="98"/>
    <w:p>
      <w:pPr>
        <w:ind w:left="220" w:right="220" w:firstLine="279"/>
        <w:spacing w:after="0" w:line="281" w:lineRule="auto"/>
        <w:tabs>
          <w:tab w:leader="none" w:pos="973"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22"/>
          <w:szCs w:val="22"/>
          <w:b w:val="1"/>
          <w:bCs w:val="1"/>
          <w:color w:val="auto"/>
        </w:rPr>
        <w:t xml:space="preserve">IN WITNESS WHEREOE, </w:t>
      </w:r>
      <w:r>
        <w:rPr>
          <w:rFonts w:ascii="Arial" w:cs="Arial" w:eastAsia="Arial" w:hAnsi="Arial"/>
          <w:sz w:val="22"/>
          <w:szCs w:val="22"/>
          <w:color w:val="auto"/>
        </w:rPr>
        <w:t>the Parties intending to be legally bound have caused this Agreement to be executed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or representatives.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XERIS PHARMACEUTICALS, INC.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Paul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899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91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 Paul Edick</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SHL PHARMA LLC</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/s/ Peter Noolandi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127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 Peter Noolandi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6" w:right="239" w:bottom="1440" w:gutter="0" w:footer="0" w:header="0"/>
        </w:sectPr>
      </w:pPr>
    </w:p>
    <w:bookmarkStart w:id="99" w:name="page100"/>
    <w:bookmarkEnd w:id="99"/>
    <w:p>
      <w:pPr>
        <w:ind w:left="220" w:right="200" w:firstLine="279"/>
        <w:spacing w:after="0" w:line="281" w:lineRule="auto"/>
        <w:tabs>
          <w:tab w:leader="none" w:pos="973"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APPENDIX A</w:t>
      </w:r>
    </w:p>
    <w:p>
      <w:pPr>
        <w:spacing w:after="0" w:line="31"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Product Attributes</w:t>
      </w:r>
    </w:p>
    <w:p>
      <w:pPr>
        <w:spacing w:after="0" w:line="233" w:lineRule="exact"/>
        <w:rPr>
          <w:sz w:val="20"/>
          <w:szCs w:val="20"/>
          <w:color w:val="auto"/>
        </w:rPr>
      </w:pPr>
    </w:p>
    <w:p>
      <w:pPr>
        <w:ind w:left="340" w:right="9380" w:hanging="332"/>
        <w:spacing w:after="0" w:line="461" w:lineRule="auto"/>
        <w:tabs>
          <w:tab w:leader="none" w:pos="34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Product Overview </w:t>
      </w:r>
      <w:r>
        <w:rPr>
          <w:rFonts w:ascii="Arial" w:cs="Arial" w:eastAsia="Arial" w:hAnsi="Arial"/>
          <w:sz w:val="22"/>
          <w:szCs w:val="22"/>
          <w:color w:val="auto"/>
        </w:rPr>
        <w:t>[***].</w:t>
      </w:r>
    </w:p>
    <w:p>
      <w:pPr>
        <w:ind w:left="340" w:hanging="332"/>
        <w:spacing w:after="0"/>
        <w:tabs>
          <w:tab w:leader="none" w:pos="34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Device</w:t>
      </w:r>
    </w:p>
    <w:p>
      <w:pPr>
        <w:spacing w:after="0" w:line="239" w:lineRule="exact"/>
        <w:rPr>
          <w:rFonts w:ascii="Arial" w:cs="Arial" w:eastAsia="Arial" w:hAnsi="Arial"/>
          <w:sz w:val="22"/>
          <w:szCs w:val="22"/>
          <w:b w:val="1"/>
          <w:bCs w:val="1"/>
          <w:color w:val="auto"/>
        </w:rPr>
      </w:pPr>
    </w:p>
    <w:p>
      <w:pPr>
        <w:jc w:val="both"/>
        <w:ind w:left="340"/>
        <w:spacing w:after="0" w:line="263" w:lineRule="auto"/>
        <w:rPr>
          <w:rFonts w:ascii="Arial" w:cs="Arial" w:eastAsia="Arial" w:hAnsi="Arial"/>
          <w:sz w:val="22"/>
          <w:szCs w:val="22"/>
          <w:b w:val="1"/>
          <w:bCs w:val="1"/>
          <w:color w:val="auto"/>
        </w:rPr>
      </w:pPr>
      <w:r>
        <w:rPr>
          <w:rFonts w:ascii="Arial" w:cs="Arial" w:eastAsia="Arial" w:hAnsi="Arial"/>
          <w:sz w:val="22"/>
          <w:szCs w:val="22"/>
          <w:color w:val="auto"/>
        </w:rPr>
        <w:t>The Device delivery system [***] form of sub-assemblies sourced by SIIL from. Scandinavian Health, suitable for housing Customer’s Primary Packaging, inclusive of all components, assembly steps and quality release steps, and as developed under the Joint Development Agreement. Devices manufactured as part of the Services shall meet Device and Product specifications according to the Quality Agreements.</w:t>
      </w:r>
    </w:p>
    <w:p>
      <w:pPr>
        <w:spacing w:after="0" w:line="181" w:lineRule="exact"/>
        <w:rPr>
          <w:rFonts w:ascii="Arial" w:cs="Arial" w:eastAsia="Arial" w:hAnsi="Arial"/>
          <w:sz w:val="22"/>
          <w:szCs w:val="22"/>
          <w:b w:val="1"/>
          <w:bCs w:val="1"/>
          <w:color w:val="auto"/>
        </w:rPr>
      </w:pPr>
    </w:p>
    <w:p>
      <w:pPr>
        <w:ind w:left="340" w:hanging="332"/>
        <w:spacing w:after="0"/>
        <w:tabs>
          <w:tab w:leader="none" w:pos="34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Primary Packaging</w:t>
      </w:r>
    </w:p>
    <w:p>
      <w:pPr>
        <w:spacing w:after="0" w:line="388" w:lineRule="exact"/>
        <w:rPr>
          <w:sz w:val="20"/>
          <w:szCs w:val="20"/>
          <w:color w:val="auto"/>
        </w:rPr>
      </w:pPr>
    </w:p>
    <w:tbl>
      <w:tblPr>
        <w:tblLayout w:type="fixed"/>
        <w:tblInd w:w="440" w:type="dxa"/>
        <w:tblCellMar>
          <w:top w:w="0" w:type="dxa"/>
          <w:left w:w="0" w:type="dxa"/>
          <w:bottom w:w="0" w:type="dxa"/>
          <w:right w:w="0" w:type="dxa"/>
        </w:tblCellMar>
      </w:tblPr>
      <w:tr>
        <w:trPr>
          <w:trHeight w:val="275"/>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3"/>
                <w:szCs w:val="23"/>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459"/>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482"/>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275"/>
        </w:trPr>
        <w:tc>
          <w:tcPr>
            <w:tcW w:w="2060" w:type="dxa"/>
            <w:vAlign w:val="bottom"/>
          </w:tcPr>
          <w:p>
            <w:pPr>
              <w:spacing w:after="0"/>
              <w:rPr>
                <w:sz w:val="23"/>
                <w:szCs w:val="23"/>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3"/>
                <w:szCs w:val="23"/>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513"/>
        </w:trPr>
        <w:tc>
          <w:tcPr>
            <w:tcW w:w="2060" w:type="dxa"/>
            <w:vAlign w:val="bottom"/>
          </w:tcPr>
          <w:p>
            <w:pPr>
              <w:jc w:val="right"/>
              <w:ind w:right="1492"/>
              <w:spacing w:after="0"/>
              <w:rPr>
                <w:sz w:val="20"/>
                <w:szCs w:val="20"/>
                <w:color w:val="auto"/>
              </w:rPr>
            </w:pPr>
            <w:r>
              <w:rPr>
                <w:rFonts w:ascii="Arial" w:cs="Arial" w:eastAsia="Arial" w:hAnsi="Arial"/>
                <w:sz w:val="22"/>
                <w:szCs w:val="22"/>
                <w:color w:val="auto"/>
              </w:rPr>
              <w:t>[***]</w:t>
            </w: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spacing w:after="0"/>
              <w:rPr>
                <w:sz w:val="24"/>
                <w:szCs w:val="24"/>
                <w:color w:val="auto"/>
              </w:rPr>
            </w:pPr>
          </w:p>
        </w:tc>
      </w:tr>
      <w:tr>
        <w:trPr>
          <w:trHeight w:val="297"/>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2060" w:type="dxa"/>
            <w:vAlign w:val="bottom"/>
          </w:tcPr>
          <w:p>
            <w:pPr>
              <w:spacing w:after="0"/>
              <w:rPr>
                <w:sz w:val="24"/>
                <w:szCs w:val="24"/>
                <w:color w:val="auto"/>
              </w:rPr>
            </w:pPr>
          </w:p>
        </w:tc>
        <w:tc>
          <w:tcPr>
            <w:tcW w:w="3580" w:type="dxa"/>
            <w:vAlign w:val="bottom"/>
          </w:tcPr>
          <w:p>
            <w:pPr>
              <w:jc w:val="right"/>
              <w:ind w:right="1412"/>
              <w:spacing w:after="0"/>
              <w:rPr>
                <w:sz w:val="20"/>
                <w:szCs w:val="20"/>
                <w:color w:val="auto"/>
              </w:rPr>
            </w:pPr>
            <w:r>
              <w:rPr>
                <w:rFonts w:ascii="Arial" w:cs="Arial" w:eastAsia="Arial" w:hAnsi="Arial"/>
                <w:sz w:val="22"/>
                <w:szCs w:val="22"/>
                <w:color w:val="auto"/>
              </w:rPr>
              <w:t>[***]</w:t>
            </w:r>
          </w:p>
        </w:tc>
        <w:tc>
          <w:tcPr>
            <w:tcW w:w="20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Secondary and Bulk Packaging</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ectPr>
          <w:pgSz w:w="11900" w:h="16838" w:orient="portrait"/>
          <w:cols w:equalWidth="0" w:num="1">
            <w:col w:w="11400"/>
          </w:cols>
          <w:pgMar w:left="240" w:top="136" w:right="259" w:bottom="1440" w:gutter="0" w:footer="0" w:header="0"/>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136" w:right="259" w:bottom="1440" w:gutter="0" w:footer="0" w:header="0"/>
          <w:type w:val="continuous"/>
        </w:sectPr>
      </w:pPr>
    </w:p>
    <w:bookmarkStart w:id="100" w:name="page101"/>
    <w:bookmarkEnd w:id="100"/>
    <w:p>
      <w:pPr>
        <w:ind w:left="220" w:right="220" w:firstLine="279"/>
        <w:spacing w:after="0" w:line="281" w:lineRule="auto"/>
        <w:tabs>
          <w:tab w:leader="none" w:pos="973"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sz w:val="20"/>
          <w:szCs w:val="20"/>
          <w:color w:val="auto"/>
        </w:rPr>
      </w:pPr>
    </w:p>
    <w:p>
      <w:pPr>
        <w:spacing w:after="0" w:line="281" w:lineRule="exact"/>
        <w:rPr>
          <w:sz w:val="20"/>
          <w:szCs w:val="20"/>
          <w:color w:val="auto"/>
        </w:rPr>
      </w:pPr>
    </w:p>
    <w:p>
      <w:pPr>
        <w:jc w:val="both"/>
        <w:ind w:left="340"/>
        <w:spacing w:after="0" w:line="266" w:lineRule="auto"/>
        <w:rPr>
          <w:sz w:val="20"/>
          <w:szCs w:val="20"/>
          <w:color w:val="auto"/>
        </w:rPr>
      </w:pPr>
      <w:r>
        <w:rPr>
          <w:rFonts w:ascii="Arial" w:cs="Arial" w:eastAsia="Arial" w:hAnsi="Arial"/>
          <w:sz w:val="22"/>
          <w:szCs w:val="22"/>
          <w:color w:val="auto"/>
        </w:rPr>
        <w:t>Product requires a Customer approved label to be placed on the assembled Product. Labelled Product shall be placed in plastic trays, and trays shall be placed into foil bag [***]. Shipment of the sealed trays/pouches shall be in accordance with Product specifications according to the Quality Agreements.</w:t>
      </w:r>
    </w:p>
    <w:p>
      <w:pPr>
        <w:spacing w:after="0" w:line="179"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Customer Materials</w:t>
      </w:r>
    </w:p>
    <w:p>
      <w:pPr>
        <w:spacing w:after="0" w:line="239" w:lineRule="exact"/>
        <w:rPr>
          <w:rFonts w:ascii="Arial" w:cs="Arial" w:eastAsia="Arial" w:hAnsi="Arial"/>
          <w:sz w:val="22"/>
          <w:szCs w:val="22"/>
          <w:b w:val="1"/>
          <w:bCs w:val="1"/>
          <w:color w:val="auto"/>
        </w:rPr>
      </w:pPr>
    </w:p>
    <w:p>
      <w:pPr>
        <w:ind w:left="340"/>
        <w:spacing w:after="0" w:line="276" w:lineRule="auto"/>
        <w:rPr>
          <w:rFonts w:ascii="Arial" w:cs="Arial" w:eastAsia="Arial" w:hAnsi="Arial"/>
          <w:sz w:val="22"/>
          <w:szCs w:val="22"/>
          <w:b w:val="1"/>
          <w:bCs w:val="1"/>
          <w:color w:val="auto"/>
        </w:rPr>
      </w:pPr>
      <w:r>
        <w:rPr>
          <w:rFonts w:ascii="Arial" w:cs="Arial" w:eastAsia="Arial" w:hAnsi="Arial"/>
          <w:sz w:val="22"/>
          <w:szCs w:val="22"/>
          <w:color w:val="auto"/>
        </w:rPr>
        <w:t>Customer is responsible for the supply of the [***]. Primary Packaging will be provided by Customer in sufficient quantities as needed for SHL to perform the Services.</w:t>
      </w:r>
    </w:p>
    <w:p>
      <w:pPr>
        <w:spacing w:after="0" w:line="168" w:lineRule="exact"/>
        <w:rPr>
          <w:rFonts w:ascii="Arial" w:cs="Arial" w:eastAsia="Arial" w:hAnsi="Arial"/>
          <w:sz w:val="22"/>
          <w:szCs w:val="22"/>
          <w:b w:val="1"/>
          <w:bCs w:val="1"/>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SHL Materials</w:t>
      </w:r>
    </w:p>
    <w:p>
      <w:pPr>
        <w:spacing w:after="0" w:line="239" w:lineRule="exact"/>
        <w:rPr>
          <w:rFonts w:ascii="Arial" w:cs="Arial" w:eastAsia="Arial" w:hAnsi="Arial"/>
          <w:sz w:val="22"/>
          <w:szCs w:val="22"/>
          <w:b w:val="1"/>
          <w:bCs w:val="1"/>
          <w:color w:val="auto"/>
        </w:rPr>
      </w:pPr>
    </w:p>
    <w:p>
      <w:pPr>
        <w:jc w:val="both"/>
        <w:ind w:left="340"/>
        <w:spacing w:after="0" w:line="266" w:lineRule="auto"/>
        <w:rPr>
          <w:rFonts w:ascii="Arial" w:cs="Arial" w:eastAsia="Arial" w:hAnsi="Arial"/>
          <w:sz w:val="22"/>
          <w:szCs w:val="22"/>
          <w:b w:val="1"/>
          <w:bCs w:val="1"/>
          <w:color w:val="auto"/>
        </w:rPr>
      </w:pPr>
      <w:r>
        <w:rPr>
          <w:rFonts w:ascii="Arial" w:cs="Arial" w:eastAsia="Arial" w:hAnsi="Arial"/>
          <w:sz w:val="22"/>
          <w:szCs w:val="22"/>
          <w:color w:val="auto"/>
        </w:rPr>
        <w:t>SHL is responsible for the supply of the Device sub-assemblies from Scandinavian Health, assembly of the Products, Product labeling and bulk secondary packaging. Product will be provided by SHL in sufficient quantities as needed for Customer to test or perform final packaging of the Product.</w:t>
      </w:r>
    </w:p>
    <w:p>
      <w:pPr>
        <w:spacing w:after="0" w:line="179" w:lineRule="exact"/>
        <w:rPr>
          <w:rFonts w:ascii="Arial" w:cs="Arial" w:eastAsia="Arial" w:hAnsi="Arial"/>
          <w:sz w:val="22"/>
          <w:szCs w:val="22"/>
          <w:b w:val="1"/>
          <w:bCs w:val="1"/>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Minimum Batch / Purchase Order Quantity</w:t>
      </w:r>
    </w:p>
    <w:p>
      <w:pPr>
        <w:spacing w:after="0" w:line="239" w:lineRule="exact"/>
        <w:rPr>
          <w:rFonts w:ascii="Arial" w:cs="Arial" w:eastAsia="Arial" w:hAnsi="Arial"/>
          <w:sz w:val="22"/>
          <w:szCs w:val="22"/>
          <w:b w:val="1"/>
          <w:bCs w:val="1"/>
          <w:color w:val="auto"/>
        </w:rPr>
      </w:pPr>
    </w:p>
    <w:p>
      <w:pPr>
        <w:jc w:val="both"/>
        <w:ind w:left="340"/>
        <w:spacing w:after="0" w:line="279" w:lineRule="auto"/>
        <w:rPr>
          <w:rFonts w:ascii="Arial" w:cs="Arial" w:eastAsia="Arial" w:hAnsi="Arial"/>
          <w:sz w:val="22"/>
          <w:szCs w:val="22"/>
          <w:b w:val="1"/>
          <w:bCs w:val="1"/>
          <w:color w:val="auto"/>
        </w:rPr>
      </w:pPr>
      <w:r>
        <w:rPr>
          <w:rFonts w:ascii="Arial" w:cs="Arial" w:eastAsia="Arial" w:hAnsi="Arial"/>
          <w:sz w:val="21"/>
          <w:szCs w:val="21"/>
          <w:color w:val="auto"/>
        </w:rPr>
        <w:t>Customer shall use good faith efforts to forecast and order quantities of Product consistent with expected batch yields [***] from Primary Packaging manufacturing. Expected Primary Packaging batch sizes [***], which Parties may agree to adjust from time to time, The minimum Purchase Order quantity (“MOQ”) for any single order shall be [***] with Purchase Orders less than the MOQ being subject to a surcharge to be negotiated in good faith between the Parties.</w:t>
      </w:r>
    </w:p>
    <w:p>
      <w:pPr>
        <w:spacing w:after="0" w:line="167" w:lineRule="exact"/>
        <w:rPr>
          <w:rFonts w:ascii="Arial" w:cs="Arial" w:eastAsia="Arial" w:hAnsi="Arial"/>
          <w:sz w:val="22"/>
          <w:szCs w:val="22"/>
          <w:b w:val="1"/>
          <w:bCs w:val="1"/>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Capacity Commitment</w:t>
      </w:r>
    </w:p>
    <w:p>
      <w:pPr>
        <w:spacing w:after="0" w:line="239" w:lineRule="exact"/>
        <w:rPr>
          <w:rFonts w:ascii="Arial" w:cs="Arial" w:eastAsia="Arial" w:hAnsi="Arial"/>
          <w:sz w:val="22"/>
          <w:szCs w:val="22"/>
          <w:b w:val="1"/>
          <w:bCs w:val="1"/>
          <w:color w:val="auto"/>
        </w:rPr>
      </w:pPr>
    </w:p>
    <w:p>
      <w:pPr>
        <w:ind w:left="340"/>
        <w:spacing w:after="0"/>
        <w:rPr>
          <w:rFonts w:ascii="Arial" w:cs="Arial" w:eastAsia="Arial" w:hAnsi="Arial"/>
          <w:sz w:val="22"/>
          <w:szCs w:val="22"/>
          <w:b w:val="1"/>
          <w:bCs w:val="1"/>
          <w:color w:val="auto"/>
        </w:rPr>
      </w:pPr>
      <w:r>
        <w:rPr>
          <w:rFonts w:ascii="Arial" w:cs="Arial" w:eastAsia="Arial" w:hAnsi="Arial"/>
          <w:sz w:val="19"/>
          <w:szCs w:val="19"/>
          <w:color w:val="auto"/>
        </w:rPr>
        <w:t>Unless otherwise agreed to in writing by the Parties, monthly volumes for Product and Device sub-assemblies shall not exceed</w:t>
      </w:r>
    </w:p>
    <w:p>
      <w:pPr>
        <w:spacing w:after="0" w:line="56" w:lineRule="exact"/>
        <w:rPr>
          <w:rFonts w:ascii="Arial" w:cs="Arial" w:eastAsia="Arial" w:hAnsi="Arial"/>
          <w:sz w:val="22"/>
          <w:szCs w:val="22"/>
          <w:b w:val="1"/>
          <w:bCs w:val="1"/>
          <w:color w:val="auto"/>
        </w:rPr>
      </w:pPr>
    </w:p>
    <w:p>
      <w:pPr>
        <w:jc w:val="both"/>
        <w:ind w:left="340" w:hanging="8"/>
        <w:spacing w:after="0" w:line="264" w:lineRule="auto"/>
        <w:tabs>
          <w:tab w:leader="none" w:pos="863"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and annual volume for Product and Device sub-assemblies shall not exceed [***]. The JSC shall review Customer’s Long Term Forecast and the Capacity Commitment annually and Parties agree to work together in good faith to adjust the Capacity Commitment to support Customer’s Long Term Forecast.</w:t>
      </w:r>
    </w:p>
    <w:p>
      <w:pPr>
        <w:spacing w:after="0" w:line="181" w:lineRule="exact"/>
        <w:rPr>
          <w:rFonts w:ascii="Arial" w:cs="Arial" w:eastAsia="Arial" w:hAnsi="Arial"/>
          <w:sz w:val="22"/>
          <w:szCs w:val="22"/>
          <w:color w:val="auto"/>
        </w:rPr>
      </w:pPr>
    </w:p>
    <w:p>
      <w:pPr>
        <w:ind w:left="340" w:hanging="332"/>
        <w:spacing w:after="0"/>
        <w:tabs>
          <w:tab w:leader="none" w:pos="34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Safety Stock</w:t>
      </w:r>
    </w:p>
    <w:p>
      <w:pPr>
        <w:spacing w:after="0" w:line="233" w:lineRule="exact"/>
        <w:rPr>
          <w:rFonts w:ascii="Arial" w:cs="Arial" w:eastAsia="Arial" w:hAnsi="Arial"/>
          <w:sz w:val="22"/>
          <w:szCs w:val="22"/>
          <w:b w:val="1"/>
          <w:bCs w:val="1"/>
          <w:color w:val="auto"/>
        </w:rPr>
      </w:pPr>
    </w:p>
    <w:p>
      <w:pPr>
        <w:jc w:val="both"/>
        <w:ind w:left="340"/>
        <w:spacing w:after="0" w:line="300" w:lineRule="auto"/>
        <w:rPr>
          <w:rFonts w:ascii="Arial" w:cs="Arial" w:eastAsia="Arial" w:hAnsi="Arial"/>
          <w:sz w:val="22"/>
          <w:szCs w:val="22"/>
          <w:b w:val="1"/>
          <w:bCs w:val="1"/>
          <w:color w:val="auto"/>
        </w:rPr>
      </w:pPr>
      <w:r>
        <w:rPr>
          <w:rFonts w:ascii="Arial" w:cs="Arial" w:eastAsia="Arial" w:hAnsi="Arial"/>
          <w:sz w:val="19"/>
          <w:szCs w:val="19"/>
          <w:color w:val="auto"/>
        </w:rPr>
        <w:t xml:space="preserve">SHL shall maintain </w:t>
      </w:r>
      <w:r>
        <w:rPr>
          <w:rFonts w:ascii="Arial" w:cs="Arial" w:eastAsia="Arial" w:hAnsi="Arial"/>
          <w:sz w:val="19"/>
          <w:szCs w:val="19"/>
          <w:b w:val="1"/>
          <w:bCs w:val="1"/>
          <w:color w:val="auto"/>
        </w:rPr>
        <w:t>a</w:t>
      </w:r>
      <w:r>
        <w:rPr>
          <w:rFonts w:ascii="Arial" w:cs="Arial" w:eastAsia="Arial" w:hAnsi="Arial"/>
          <w:sz w:val="19"/>
          <w:szCs w:val="19"/>
          <w:color w:val="auto"/>
        </w:rPr>
        <w:t xml:space="preserve"> minimum [***] Safety Stock of Device subassemblies, device labels, and Product bulk packaging, based upon the monthly average derived from the [***] of the Customer’s latest Rolling Forecast at no charge to customer. [***], SHL shall establish and maintain an additional Safety Stock of [***] (approximately [***] sets) of Device sub-assemblies at the</w:t>
      </w:r>
    </w:p>
    <w:p>
      <w:pPr>
        <w:spacing w:after="0" w:line="1" w:lineRule="exact"/>
        <w:rPr>
          <w:rFonts w:ascii="Arial" w:cs="Arial" w:eastAsia="Arial" w:hAnsi="Arial"/>
          <w:sz w:val="22"/>
          <w:szCs w:val="22"/>
          <w:b w:val="1"/>
          <w:bCs w:val="1"/>
          <w:color w:val="auto"/>
        </w:rPr>
      </w:pPr>
    </w:p>
    <w:p>
      <w:pPr>
        <w:jc w:val="both"/>
        <w:ind w:left="340" w:hanging="8"/>
        <w:spacing w:after="0" w:line="282" w:lineRule="auto"/>
        <w:tabs>
          <w:tab w:leader="none" w:pos="867" w:val="left"/>
        </w:tabs>
        <w:numPr>
          <w:ilvl w:val="1"/>
          <w:numId w:val="98"/>
        </w:numPr>
        <w:rPr>
          <w:rFonts w:ascii="Arial" w:cs="Arial" w:eastAsia="Arial" w:hAnsi="Arial"/>
          <w:sz w:val="21"/>
          <w:szCs w:val="21"/>
          <w:color w:val="auto"/>
        </w:rPr>
      </w:pPr>
      <w:r>
        <w:rPr>
          <w:rFonts w:ascii="Arial" w:cs="Arial" w:eastAsia="Arial" w:hAnsi="Arial"/>
          <w:sz w:val="21"/>
          <w:szCs w:val="21"/>
          <w:color w:val="auto"/>
        </w:rPr>
        <w:t>to mitigate supply risk and Customer shall pay SHL an annual separate fee of [***] to warehouse such Safety Stock. The quantity and cost for maintaining such [***] shall be reviewed annually and updated as required by the JSC. Upon termination of this Agreement for any reason, Customer shall be obligated to purchase all of the Safety Stock.</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6" w:right="239" w:bottom="1440" w:gutter="0" w:footer="0" w:header="0"/>
        </w:sectPr>
      </w:pPr>
    </w:p>
    <w:bookmarkStart w:id="101" w:name="page102"/>
    <w:bookmarkEnd w:id="101"/>
    <w:p>
      <w:pPr>
        <w:ind w:left="220" w:right="240" w:firstLine="279"/>
        <w:spacing w:after="0" w:line="281" w:lineRule="auto"/>
        <w:tabs>
          <w:tab w:leader="none" w:pos="973"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rFonts w:ascii="Arial" w:cs="Arial" w:eastAsia="Arial" w:hAnsi="Arial"/>
          <w:sz w:val="19"/>
          <w:szCs w:val="19"/>
          <w:color w:val="auto"/>
        </w:rPr>
      </w:pPr>
    </w:p>
    <w:p>
      <w:pPr>
        <w:spacing w:after="0" w:line="275" w:lineRule="exact"/>
        <w:rPr>
          <w:rFonts w:ascii="Arial" w:cs="Arial" w:eastAsia="Arial" w:hAnsi="Arial"/>
          <w:sz w:val="19"/>
          <w:szCs w:val="19"/>
          <w:color w:val="auto"/>
        </w:rPr>
      </w:pPr>
    </w:p>
    <w:p>
      <w:pPr>
        <w:ind w:left="340" w:right="9340" w:hanging="332"/>
        <w:spacing w:after="0" w:line="461" w:lineRule="auto"/>
        <w:tabs>
          <w:tab w:leader="none" w:pos="3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Storage Conditions </w:t>
      </w:r>
      <w:r>
        <w:rPr>
          <w:rFonts w:ascii="Arial" w:cs="Arial" w:eastAsia="Arial" w:hAnsi="Arial"/>
          <w:sz w:val="22"/>
          <w:szCs w:val="22"/>
          <w:color w:val="auto"/>
        </w:rPr>
        <w:t>[***].</w:t>
      </w:r>
    </w:p>
    <w:p>
      <w:pPr>
        <w:ind w:left="340" w:hanging="332"/>
        <w:spacing w:after="0"/>
        <w:tabs>
          <w:tab w:leader="none" w:pos="34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Prices</w:t>
      </w:r>
    </w:p>
    <w:p>
      <w:pPr>
        <w:spacing w:after="0" w:line="239" w:lineRule="exact"/>
        <w:rPr>
          <w:rFonts w:ascii="Arial" w:cs="Arial" w:eastAsia="Arial" w:hAnsi="Arial"/>
          <w:sz w:val="22"/>
          <w:szCs w:val="22"/>
          <w:b w:val="1"/>
          <w:bCs w:val="1"/>
          <w:color w:val="auto"/>
        </w:rPr>
      </w:pPr>
    </w:p>
    <w:p>
      <w:pPr>
        <w:ind w:left="340" w:right="20"/>
        <w:spacing w:after="0" w:line="276" w:lineRule="auto"/>
        <w:rPr>
          <w:rFonts w:ascii="Arial" w:cs="Arial" w:eastAsia="Arial" w:hAnsi="Arial"/>
          <w:sz w:val="22"/>
          <w:szCs w:val="22"/>
          <w:b w:val="1"/>
          <w:bCs w:val="1"/>
          <w:color w:val="auto"/>
        </w:rPr>
      </w:pPr>
      <w:r>
        <w:rPr>
          <w:rFonts w:ascii="Arial" w:cs="Arial" w:eastAsia="Arial" w:hAnsi="Arial"/>
          <w:sz w:val="22"/>
          <w:szCs w:val="22"/>
          <w:color w:val="auto"/>
        </w:rPr>
        <w:t>The Prices of the Products in United States dollars shall be as follows, on a per-unit basis, based on each item of the Services, as shown below:</w:t>
      </w: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66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6"/>
              </w:rPr>
              <w:t>Finished Goods Batch Size</w:t>
            </w:r>
          </w:p>
        </w:tc>
        <w:tc>
          <w:tcPr>
            <w:tcW w:w="2180" w:type="dxa"/>
            <w:vAlign w:val="bottom"/>
            <w:tcBorders>
              <w:top w:val="single" w:sz="8" w:color="auto"/>
              <w:bottom w:val="single" w:sz="8" w:color="auto"/>
              <w:right w:val="single" w:sz="8" w:color="D9D9D9"/>
            </w:tcBorders>
            <w:shd w:val="clear" w:color="auto" w:fill="D9D9D9"/>
          </w:tcPr>
          <w:p>
            <w:pPr>
              <w:spacing w:after="0"/>
              <w:rPr>
                <w:sz w:val="24"/>
                <w:szCs w:val="24"/>
                <w:color w:val="auto"/>
              </w:rPr>
            </w:pPr>
          </w:p>
        </w:tc>
        <w:tc>
          <w:tcPr>
            <w:tcW w:w="4660" w:type="dxa"/>
            <w:vAlign w:val="bottom"/>
            <w:tcBorders>
              <w:top w:val="single" w:sz="8" w:color="auto"/>
              <w:bottom w:val="single" w:sz="8" w:color="auto"/>
              <w:right w:val="single" w:sz="8" w:color="D9D9D9"/>
            </w:tcBorders>
            <w:gridSpan w:val="2"/>
            <w:shd w:val="clear" w:color="auto" w:fill="D9D9D9"/>
          </w:tcPr>
          <w:p>
            <w:pPr>
              <w:ind w:left="860"/>
              <w:spacing w:after="0"/>
              <w:rPr>
                <w:sz w:val="20"/>
                <w:szCs w:val="20"/>
                <w:color w:val="auto"/>
              </w:rPr>
            </w:pPr>
            <w:r>
              <w:rPr>
                <w:rFonts w:ascii="Arial" w:cs="Arial" w:eastAsia="Arial" w:hAnsi="Arial"/>
                <w:sz w:val="22"/>
                <w:szCs w:val="22"/>
                <w:b w:val="1"/>
                <w:bCs w:val="1"/>
                <w:color w:val="auto"/>
              </w:rPr>
              <w:t>Annual Product Volume Tier</w:t>
            </w:r>
          </w:p>
        </w:tc>
        <w:tc>
          <w:tcPr>
            <w:tcW w:w="194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r>
      <w:tr>
        <w:trPr>
          <w:trHeight w:val="291"/>
        </w:trPr>
        <w:tc>
          <w:tcPr>
            <w:tcW w:w="2660" w:type="dxa"/>
            <w:vAlign w:val="bottom"/>
            <w:tcBorders>
              <w:left w:val="single" w:sz="8" w:color="auto"/>
              <w:bottom w:val="single" w:sz="8" w:color="auto"/>
              <w:right w:val="single" w:sz="8" w:color="auto"/>
            </w:tcBorders>
            <w:shd w:val="clear" w:color="auto" w:fill="D9D9D9"/>
          </w:tcPr>
          <w:p>
            <w:pPr>
              <w:spacing w:after="0"/>
              <w:rPr>
                <w:sz w:val="24"/>
                <w:szCs w:val="24"/>
                <w:color w:val="auto"/>
              </w:rPr>
            </w:pPr>
          </w:p>
        </w:tc>
        <w:tc>
          <w:tcPr>
            <w:tcW w:w="2180" w:type="dxa"/>
            <w:vAlign w:val="bottom"/>
            <w:tcBorders>
              <w:bottom w:val="single" w:sz="8" w:color="auto"/>
              <w:right w:val="single" w:sz="8" w:color="D9D9D9"/>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4"/>
              </w:rPr>
              <w:t>&lt;500K</w:t>
            </w:r>
          </w:p>
        </w:tc>
        <w:tc>
          <w:tcPr>
            <w:tcW w:w="22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5"/>
              </w:rPr>
              <w:t>500K - 1M</w:t>
            </w:r>
          </w:p>
        </w:tc>
        <w:tc>
          <w:tcPr>
            <w:tcW w:w="23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6"/>
              </w:rPr>
              <w:t>&gt;1M - 1.5M</w:t>
            </w:r>
          </w:p>
        </w:tc>
        <w:tc>
          <w:tcPr>
            <w:tcW w:w="1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6"/>
              </w:rPr>
              <w:t>&gt;1.5M - 2M</w:t>
            </w:r>
          </w:p>
        </w:tc>
      </w:tr>
      <w:tr>
        <w:trPr>
          <w:trHeight w:val="291"/>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*Batch size results In an additional </w:t>
      </w:r>
      <w:r>
        <w:rPr>
          <w:rFonts w:ascii="Arial" w:cs="Arial" w:eastAsia="Arial" w:hAnsi="Arial"/>
          <w:sz w:val="21"/>
          <w:szCs w:val="21"/>
          <w:color w:val="auto"/>
        </w:rPr>
        <w:t>[***]</w:t>
      </w:r>
      <w:r>
        <w:rPr>
          <w:rFonts w:ascii="Arial" w:cs="Arial" w:eastAsia="Arial" w:hAnsi="Arial"/>
          <w:sz w:val="18"/>
          <w:szCs w:val="18"/>
          <w:color w:val="auto"/>
        </w:rPr>
        <w:t xml:space="preserve"> lot setup/changeover fee.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**Batch size results in an additional </w:t>
      </w:r>
      <w:r>
        <w:rPr>
          <w:rFonts w:ascii="Arial" w:cs="Arial" w:eastAsia="Arial" w:hAnsi="Arial"/>
          <w:sz w:val="21"/>
          <w:szCs w:val="21"/>
          <w:color w:val="auto"/>
        </w:rPr>
        <w:t>[***]</w:t>
      </w:r>
      <w:r>
        <w:rPr>
          <w:rFonts w:ascii="Arial" w:cs="Arial" w:eastAsia="Arial" w:hAnsi="Arial"/>
          <w:sz w:val="18"/>
          <w:szCs w:val="18"/>
          <w:color w:val="auto"/>
        </w:rPr>
        <w:t xml:space="preserve"> lot setup/changeover fee.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the avoidance of doubt, the above Prices shall be adjusted as noted for the following situations:</w:t>
      </w:r>
    </w:p>
    <w:p>
      <w:pPr>
        <w:spacing w:after="0" w:line="233" w:lineRule="exact"/>
        <w:rPr>
          <w:sz w:val="20"/>
          <w:szCs w:val="20"/>
          <w:color w:val="auto"/>
        </w:rPr>
      </w:pPr>
    </w:p>
    <w:p>
      <w:pPr>
        <w:ind w:left="980" w:right="600" w:hanging="324"/>
        <w:spacing w:after="0" w:line="270" w:lineRule="auto"/>
        <w:tabs>
          <w:tab w:leader="none" w:pos="9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SHL shall be entitled to a [***] higher unit Price if Customer delivers a batch quantity of Primary Packaging for a related Purchase Order that is more than [***] as described herein, in accordance with Section 5.15.</w:t>
      </w:r>
    </w:p>
    <w:p>
      <w:pPr>
        <w:spacing w:after="0" w:line="1" w:lineRule="exact"/>
        <w:rPr>
          <w:rFonts w:ascii="Arial" w:cs="Arial" w:eastAsia="Arial" w:hAnsi="Arial"/>
          <w:sz w:val="21"/>
          <w:szCs w:val="21"/>
          <w:color w:val="auto"/>
        </w:rPr>
      </w:pPr>
    </w:p>
    <w:p>
      <w:pPr>
        <w:ind w:left="980" w:right="600" w:hanging="324"/>
        <w:spacing w:after="0" w:line="256" w:lineRule="auto"/>
        <w:tabs>
          <w:tab w:leader="none" w:pos="9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SHL shall be entitled to a [***] higher unit Price if Customer [***] prior to scheduled Purchase Order delivery, in accordance with Section 5.2.4.</w:t>
      </w:r>
    </w:p>
    <w:p>
      <w:pPr>
        <w:ind w:left="980" w:hanging="324"/>
        <w:spacing w:after="0"/>
        <w:tabs>
          <w:tab w:leader="none" w:pos="9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Customer shall be entitled to a [***] on a Purchase Order, in accordance with Section 6.6.</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For the avoidance of doubt, the above prices shall include the following:</w:t>
      </w:r>
    </w:p>
    <w:p>
      <w:pPr>
        <w:spacing w:after="0" w:line="229"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Manufacturing of the Device sub-assemblies;</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Transportation of the Device sub-assemblies from the Facility in Taiwan to the Facility at Deerfield Beach;</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Assembly of the Primary Packaging and Device sub-assemblies into Products;</w:t>
      </w:r>
    </w:p>
    <w:p>
      <w:pPr>
        <w:spacing w:after="0" w:line="17" w:lineRule="exact"/>
        <w:rPr>
          <w:rFonts w:ascii="Arial" w:cs="Arial" w:eastAsia="Arial" w:hAnsi="Arial"/>
          <w:sz w:val="22"/>
          <w:szCs w:val="22"/>
          <w:color w:val="auto"/>
        </w:rPr>
      </w:pPr>
    </w:p>
    <w:p>
      <w:pPr>
        <w:ind w:left="660" w:right="320" w:hanging="328"/>
        <w:spacing w:after="0" w:line="256" w:lineRule="auto"/>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Applying a label, batch number and expiration date on die outside of the assembled Product (including label and printing inspection/verification);</w:t>
      </w:r>
    </w:p>
    <w:p>
      <w:pPr>
        <w:ind w:left="660" w:right="340" w:hanging="328"/>
        <w:spacing w:after="0" w:line="256" w:lineRule="auto"/>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Packaging labeled Product into bulk foil pouches, labeling bulk pouches, packing bulk pouches into corrugated shippers, and palletization;</w:t>
      </w: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Quality Control testing of Device sub-assembles and Product via generally accepted statistical methods;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Certificate of conformance (which includes a certificate of analysis);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GMP-required retention samples of die Products;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136" w:right="219" w:bottom="1440" w:gutter="0" w:footer="0" w:header="0"/>
        </w:sectPr>
      </w:pPr>
    </w:p>
    <w:bookmarkStart w:id="102" w:name="page103"/>
    <w:bookmarkEnd w:id="102"/>
    <w:p>
      <w:pPr>
        <w:ind w:left="220" w:firstLine="279"/>
        <w:spacing w:after="0" w:line="281" w:lineRule="auto"/>
        <w:tabs>
          <w:tab w:leader="none" w:pos="973" w:val="left"/>
        </w:tabs>
        <w:numPr>
          <w:ilvl w:val="2"/>
          <w:numId w:val="102"/>
        </w:numPr>
        <w:rPr>
          <w:rFonts w:ascii="Arial" w:cs="Arial" w:eastAsia="Arial" w:hAnsi="Arial"/>
          <w:sz w:val="19"/>
          <w:szCs w:val="19"/>
          <w:color w:val="auto"/>
        </w:rPr>
      </w:pPr>
      <w:r>
        <w:rPr>
          <w:rFonts w:ascii="Arial" w:cs="Arial" w:eastAsia="Arial" w:hAnsi="Arial"/>
          <w:sz w:val="19"/>
          <w:szCs w:val="19"/>
          <w:color w:val="auto"/>
        </w:rPr>
        <w:t>INDICATES MATERIAL THAT HAS BEEN OMITTED AND FOR WHICH CONFIDENTIAL TREATMENT HAS BEEN REQUESTED. ALL SUCH OMITTED MATERIAL HAS BEEN FILED WITH THE SECURITIES AND EXCHANGE COMMISSION</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20"/>
          <w:szCs w:val="20"/>
          <w:color w:val="auto"/>
        </w:rPr>
        <w:t>PURSUANT TO RULE 406 PROMULGATED UNDER THE SECURITIES ACT OF 1933, AS AMENDED</w:t>
      </w:r>
    </w:p>
    <w:p>
      <w:pPr>
        <w:spacing w:after="0" w:line="200" w:lineRule="exact"/>
        <w:rPr>
          <w:rFonts w:ascii="Arial" w:cs="Arial" w:eastAsia="Arial" w:hAnsi="Arial"/>
          <w:sz w:val="19"/>
          <w:szCs w:val="19"/>
          <w:color w:val="auto"/>
        </w:rPr>
      </w:pPr>
    </w:p>
    <w:p>
      <w:pPr>
        <w:spacing w:after="0" w:line="281" w:lineRule="exact"/>
        <w:rPr>
          <w:rFonts w:ascii="Arial" w:cs="Arial" w:eastAsia="Arial" w:hAnsi="Arial"/>
          <w:sz w:val="19"/>
          <w:szCs w:val="19"/>
          <w:color w:val="auto"/>
        </w:rPr>
      </w:pPr>
    </w:p>
    <w:p>
      <w:pPr>
        <w:ind w:left="660" w:hanging="328"/>
        <w:spacing w:after="0"/>
        <w:tabs>
          <w:tab w:leader="none" w:pos="66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Routine sampling, analysis and release as part of Device sub-assembly manufacturing and Product assembly;</w:t>
      </w:r>
    </w:p>
    <w:p>
      <w:pPr>
        <w:spacing w:after="0" w:line="33" w:lineRule="exact"/>
        <w:rPr>
          <w:rFonts w:ascii="Arial" w:cs="Arial" w:eastAsia="Arial" w:hAnsi="Arial"/>
          <w:sz w:val="21"/>
          <w:szCs w:val="21"/>
          <w:color w:val="auto"/>
        </w:rPr>
      </w:pPr>
    </w:p>
    <w:p>
      <w:pPr>
        <w:ind w:left="660" w:hanging="328"/>
        <w:spacing w:after="0"/>
        <w:tabs>
          <w:tab w:leader="none" w:pos="660" w:val="left"/>
        </w:tabs>
        <w:numPr>
          <w:ilvl w:val="1"/>
          <w:numId w:val="102"/>
        </w:numPr>
        <w:rPr>
          <w:rFonts w:ascii="Arial" w:cs="Arial" w:eastAsia="Arial" w:hAnsi="Arial"/>
          <w:sz w:val="22"/>
          <w:szCs w:val="22"/>
          <w:color w:val="auto"/>
        </w:rPr>
      </w:pPr>
      <w:r>
        <w:rPr>
          <w:rFonts w:ascii="Arial" w:cs="Arial" w:eastAsia="Arial" w:hAnsi="Arial"/>
          <w:sz w:val="22"/>
          <w:szCs w:val="22"/>
          <w:color w:val="auto"/>
        </w:rPr>
        <w:t>Routine maintenance and calibration of equipment and facilities.</w:t>
      </w:r>
    </w:p>
    <w:p>
      <w:pPr>
        <w:spacing w:after="0" w:line="263" w:lineRule="exact"/>
        <w:rPr>
          <w:rFonts w:ascii="Arial" w:cs="Arial" w:eastAsia="Arial" w:hAnsi="Arial"/>
          <w:sz w:val="22"/>
          <w:szCs w:val="22"/>
          <w:color w:val="auto"/>
        </w:rPr>
      </w:pPr>
    </w:p>
    <w:p>
      <w:pPr>
        <w:ind w:left="340" w:hanging="332"/>
        <w:spacing w:after="0"/>
        <w:tabs>
          <w:tab w:leader="none" w:pos="34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Joint Steering Committee</w:t>
      </w:r>
    </w:p>
    <w:p>
      <w:pPr>
        <w:spacing w:after="0" w:line="362" w:lineRule="exact"/>
        <w:rPr>
          <w:sz w:val="20"/>
          <w:szCs w:val="20"/>
          <w:color w:val="auto"/>
        </w:rPr>
      </w:pPr>
    </w:p>
    <w:tbl>
      <w:tblPr>
        <w:tblLayout w:type="fixed"/>
        <w:tblInd w:w="50" w:type="dxa"/>
        <w:tblCellMar>
          <w:top w:w="0" w:type="dxa"/>
          <w:left w:w="0" w:type="dxa"/>
          <w:bottom w:w="0" w:type="dxa"/>
          <w:right w:w="0" w:type="dxa"/>
        </w:tblCellMar>
      </w:tblPr>
      <w:tr>
        <w:trPr>
          <w:trHeight w:val="304"/>
        </w:trPr>
        <w:tc>
          <w:tcPr>
            <w:tcW w:w="4980" w:type="dxa"/>
            <w:vAlign w:val="bottom"/>
            <w:tcBorders>
              <w:top w:val="single" w:sz="8" w:color="auto"/>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22"/>
                <w:szCs w:val="22"/>
                <w:b w:val="1"/>
                <w:bCs w:val="1"/>
                <w:color w:val="auto"/>
              </w:rPr>
              <w:t>Customer Member / Title</w:t>
            </w:r>
          </w:p>
        </w:tc>
        <w:tc>
          <w:tcPr>
            <w:tcW w:w="4940" w:type="dxa"/>
            <w:vAlign w:val="bottom"/>
            <w:tcBorders>
              <w:top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22"/>
                <w:szCs w:val="22"/>
                <w:b w:val="1"/>
                <w:bCs w:val="1"/>
                <w:color w:val="auto"/>
              </w:rPr>
              <w:t>SHL Member/Title</w:t>
            </w: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Roger Keding, VP Supply Chain</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Peter Noolandi, Managing Director, SHL, Pharma</w:t>
            </w: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Peter Knauer, VP CMC &amp; Quality</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James Haynes, Dir Regulatory &amp; Compliance</w:t>
            </w: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bottom w:val="single" w:sz="8" w:color="auto"/>
              <w:right w:val="single" w:sz="8" w:color="auto"/>
            </w:tcBorders>
          </w:tcPr>
          <w:p>
            <w:pPr>
              <w:spacing w:after="0"/>
              <w:rPr>
                <w:sz w:val="24"/>
                <w:szCs w:val="24"/>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Abe Germansderfer, Sr Dir Process Development</w:t>
            </w: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Andrea Grief, Sr Dir, Quality Assurance</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Todd Sunstrom, Sr Mgr Quality</w:t>
            </w:r>
          </w:p>
        </w:tc>
        <w:tc>
          <w:tcPr>
            <w:tcW w:w="0" w:type="dxa"/>
            <w:vAlign w:val="bottom"/>
          </w:tcPr>
          <w:p>
            <w:pPr>
              <w:spacing w:after="0"/>
              <w:rPr>
                <w:sz w:val="1"/>
                <w:szCs w:val="1"/>
                <w:color w:val="auto"/>
              </w:rPr>
            </w:pPr>
          </w:p>
        </w:tc>
      </w:tr>
      <w:tr>
        <w:trPr>
          <w:trHeight w:val="280"/>
        </w:trPr>
        <w:tc>
          <w:tcPr>
            <w:tcW w:w="4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Phil Estepa, Dir Device Development</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Don Rogers, Sr Dir Program Management</w:t>
            </w:r>
          </w:p>
        </w:tc>
        <w:tc>
          <w:tcPr>
            <w:tcW w:w="0" w:type="dxa"/>
            <w:vAlign w:val="bottom"/>
          </w:tcPr>
          <w:p>
            <w:pPr>
              <w:spacing w:after="0"/>
              <w:rPr>
                <w:sz w:val="1"/>
                <w:szCs w:val="1"/>
                <w:color w:val="auto"/>
              </w:rPr>
            </w:pPr>
          </w:p>
        </w:tc>
      </w:tr>
      <w:tr>
        <w:trPr>
          <w:trHeight w:val="260"/>
        </w:trPr>
        <w:tc>
          <w:tcPr>
            <w:tcW w:w="4980" w:type="dxa"/>
            <w:vAlign w:val="bottom"/>
            <w:tcBorders>
              <w:left w:val="single" w:sz="8" w:color="auto"/>
              <w:bottom w:val="single" w:sz="8" w:color="auto"/>
              <w:right w:val="single" w:sz="8" w:color="auto"/>
            </w:tcBorders>
          </w:tcPr>
          <w:p>
            <w:pPr>
              <w:spacing w:after="0"/>
              <w:rPr>
                <w:sz w:val="22"/>
                <w:szCs w:val="22"/>
                <w:color w:val="auto"/>
              </w:rPr>
            </w:pPr>
          </w:p>
        </w:tc>
        <w:tc>
          <w:tcPr>
            <w:tcW w:w="4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Ron Mihalcean, Sr Dir Supply Operations</w:t>
            </w:r>
          </w:p>
        </w:tc>
        <w:tc>
          <w:tcPr>
            <w:tcW w:w="49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Parish Pansuria, Dir Operations</w:t>
            </w:r>
          </w:p>
        </w:tc>
        <w:tc>
          <w:tcPr>
            <w:tcW w:w="0" w:type="dxa"/>
            <w:vAlign w:val="bottom"/>
          </w:tcPr>
          <w:p>
            <w:pPr>
              <w:spacing w:after="0"/>
              <w:rPr>
                <w:sz w:val="1"/>
                <w:szCs w:val="1"/>
                <w:color w:val="auto"/>
              </w:rPr>
            </w:pPr>
          </w:p>
        </w:tc>
      </w:tr>
      <w:tr>
        <w:trPr>
          <w:trHeight w:val="254"/>
        </w:trPr>
        <w:tc>
          <w:tcPr>
            <w:tcW w:w="4980" w:type="dxa"/>
            <w:vAlign w:val="bottom"/>
            <w:tcBorders>
              <w:left w:val="single" w:sz="8" w:color="auto"/>
              <w:bottom w:val="single" w:sz="8" w:color="auto"/>
              <w:right w:val="single" w:sz="8" w:color="auto"/>
            </w:tcBorders>
            <w:vMerge w:val="continue"/>
          </w:tcPr>
          <w:p>
            <w:pPr>
              <w:spacing w:after="0"/>
              <w:rPr>
                <w:sz w:val="22"/>
                <w:szCs w:val="22"/>
                <w:color w:val="auto"/>
              </w:rPr>
            </w:pPr>
          </w:p>
        </w:tc>
        <w:tc>
          <w:tcPr>
            <w:tcW w:w="49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4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Steve Pieper, VP Finance</w:t>
            </w:r>
          </w:p>
        </w:tc>
        <w:tc>
          <w:tcPr>
            <w:tcW w:w="4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Taras Seniuch, Dir Business Development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ACTIVE/96589863.3</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136" w:right="45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Paul R. Edick, certify that:</w:t>
      </w:r>
    </w:p>
    <w:p>
      <w:pPr>
        <w:spacing w:after="0" w:line="225" w:lineRule="exact"/>
        <w:rPr>
          <w:sz w:val="20"/>
          <w:szCs w:val="20"/>
          <w:color w:val="auto"/>
        </w:rPr>
      </w:pPr>
    </w:p>
    <w:p>
      <w:pPr>
        <w:ind w:left="520" w:hanging="188"/>
        <w:spacing w:after="0"/>
        <w:tabs>
          <w:tab w:leader="none" w:pos="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Xeris Pharmaceuticals, Inc.;</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20" w:firstLine="332"/>
        <w:spacing w:after="0" w:line="277" w:lineRule="auto"/>
        <w:tabs>
          <w:tab w:leader="none" w:pos="50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380" w:hanging="326"/>
        <w:spacing w:after="0" w:line="264" w:lineRule="auto"/>
        <w:tabs>
          <w:tab w:leader="none" w:pos="8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820" w:right="880" w:hanging="326"/>
        <w:spacing w:after="0" w:line="342" w:lineRule="auto"/>
        <w:tabs>
          <w:tab w:leader="none" w:pos="82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326"/>
        <w:spacing w:after="0" w:line="264" w:lineRule="auto"/>
        <w:tabs>
          <w:tab w:leader="none" w:pos="8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326"/>
        <w:spacing w:after="0" w:line="277" w:lineRule="auto"/>
        <w:tabs>
          <w:tab w:leader="none" w:pos="8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326"/>
        <w:spacing w:after="0" w:line="277" w:lineRule="auto"/>
        <w:tabs>
          <w:tab w:leader="none" w:pos="8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Paul R.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31750</wp:posOffset>
            </wp:positionV>
            <wp:extent cx="857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Paul R. Edick</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President, Chief</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Executive Officer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Chairman</w:t>
      </w:r>
    </w:p>
    <w:p>
      <w:pPr>
        <w:spacing w:after="0" w:line="4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Executive</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Barry M. Deutsch, certify that:</w:t>
      </w:r>
    </w:p>
    <w:p>
      <w:pPr>
        <w:spacing w:after="0" w:line="225" w:lineRule="exact"/>
        <w:rPr>
          <w:sz w:val="20"/>
          <w:szCs w:val="20"/>
          <w:color w:val="auto"/>
        </w:rPr>
      </w:pPr>
    </w:p>
    <w:p>
      <w:pPr>
        <w:ind w:left="520" w:hanging="188"/>
        <w:spacing w:after="0"/>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Xeris Pharmaceuticals, Inc.;</w:t>
      </w:r>
    </w:p>
    <w:p>
      <w:pPr>
        <w:spacing w:after="0" w:line="225" w:lineRule="exact"/>
        <w:rPr>
          <w:rFonts w:ascii="Arial" w:cs="Arial" w:eastAsia="Arial" w:hAnsi="Arial"/>
          <w:sz w:val="18"/>
          <w:szCs w:val="18"/>
          <w:color w:val="auto"/>
        </w:rPr>
      </w:pPr>
    </w:p>
    <w:p>
      <w:pPr>
        <w:jc w:val="both"/>
        <w:ind w:right="440" w:firstLine="332"/>
        <w:spacing w:after="0" w:line="342" w:lineRule="auto"/>
        <w:tabs>
          <w:tab w:leader="none" w:pos="5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620" w:firstLine="332"/>
        <w:spacing w:after="0" w:line="277" w:lineRule="auto"/>
        <w:tabs>
          <w:tab w:leader="none" w:pos="50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820" w:right="380" w:hanging="326"/>
        <w:spacing w:after="0" w:line="264" w:lineRule="auto"/>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20" w:hanging="326"/>
        <w:spacing w:after="0"/>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820" w:right="880" w:hanging="326"/>
        <w:spacing w:after="0" w:line="342" w:lineRule="auto"/>
        <w:tabs>
          <w:tab w:leader="none" w:pos="8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20" w:right="100" w:hanging="326"/>
        <w:spacing w:after="0" w:line="264" w:lineRule="auto"/>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20" w:firstLine="332"/>
        <w:spacing w:after="0" w:line="308" w:lineRule="auto"/>
        <w:tabs>
          <w:tab w:leader="none" w:pos="504"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300" w:hanging="326"/>
        <w:spacing w:after="0" w:line="277" w:lineRule="auto"/>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40" w:hanging="326"/>
        <w:spacing w:after="0" w:line="277" w:lineRule="auto"/>
        <w:tabs>
          <w:tab w:leader="none" w:pos="8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17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Barry 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22860</wp:posOffset>
            </wp:positionV>
            <wp:extent cx="857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Barry M. Deutsch</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(Principal Financial</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Paul R. Edick and Barry M. Deutsch, of Xeris Pharmaceuticals, Inc.,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our knowledge:</w:t>
      </w:r>
    </w:p>
    <w:p>
      <w:pPr>
        <w:spacing w:after="0" w:line="211" w:lineRule="exact"/>
        <w:rPr>
          <w:sz w:val="20"/>
          <w:szCs w:val="20"/>
          <w:color w:val="auto"/>
        </w:rPr>
      </w:pPr>
    </w:p>
    <w:p>
      <w:pPr>
        <w:ind w:left="660" w:right="240" w:hanging="652"/>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September 30, 2018 (Periodic Report) to which this statement is an exhibit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information contained in the Periodic Report fairly presents, in all material aspects, the financial condition and results of operations of Xeris Pharmaceuticals,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38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/s/ Paul R.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31750</wp:posOffset>
            </wp:positionV>
            <wp:extent cx="857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7"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Paul R. Edick</w:t>
      </w:r>
    </w:p>
    <w:p>
      <w:pPr>
        <w:spacing w:after="0" w:line="6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President, Chief</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Executive Officer and</w:t>
      </w:r>
    </w:p>
    <w:p>
      <w:pPr>
        <w:spacing w:after="0" w:line="9"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Chairman</w:t>
      </w:r>
    </w:p>
    <w:p>
      <w:pPr>
        <w:spacing w:after="0" w:line="49"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(Principal Executive</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/s/ Barry M.</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Deutsch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22860</wp:posOffset>
            </wp:positionV>
            <wp:extent cx="857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2"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Barry M. Deutsch</w:t>
      </w:r>
    </w:p>
    <w:p>
      <w:pPr>
        <w:spacing w:after="0" w:line="6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(Principal Financial</w:t>
      </w:r>
    </w:p>
    <w:p>
      <w:pPr>
        <w:spacing w:after="0" w:line="2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1)"/>
      <w:numFmt w:val="lowerRoman"/>
      <w:start w:val="6"/>
    </w:lvl>
  </w:abstractNum>
  <w:abstractNum w:abstractNumId="3">
    <w:nsid w:val="4F4EF005"/>
    <w:multiLevelType w:val="hybridMultilevel"/>
    <w:lvl w:ilvl="0">
      <w:lvlJc w:val="left"/>
      <w:lvlText w:val="&lt;"/>
      <w:numFmt w:val="bullet"/>
      <w:start w:val="1"/>
    </w:lvl>
  </w:abstractNum>
  <w:abstractNum w:abstractNumId="4">
    <w:nsid w:val="23F9C13C"/>
    <w:multiLevelType w:val="hybridMultilevel"/>
    <w:lvl w:ilvl="0">
      <w:lvlJc w:val="left"/>
      <w:lvlText w:val="&lt;"/>
      <w:numFmt w:val="bullet"/>
      <w:start w:val="1"/>
    </w:lvl>
  </w:abstractNum>
  <w:abstractNum w:abstractNumId="5">
    <w:nsid w:val="649BB77C"/>
    <w:multiLevelType w:val="hybridMultilevel"/>
    <w:lvl w:ilvl="0">
      <w:lvlJc w:val="left"/>
      <w:lvlText w:val="&lt;"/>
      <w:numFmt w:val="bullet"/>
      <w:start w:val="1"/>
    </w:lvl>
  </w:abstractNum>
  <w:abstractNum w:abstractNumId="6">
    <w:nsid w:val="275AC794"/>
    <w:multiLevelType w:val="hybridMultilevel"/>
    <w:lvl w:ilvl="0">
      <w:lvlJc w:val="left"/>
      <w:lvlText w:val="&lt;"/>
      <w:numFmt w:val="bullet"/>
      <w:start w:val="1"/>
    </w:lvl>
  </w:abstractNum>
  <w:abstractNum w:abstractNumId="7">
    <w:nsid w:val="39386575"/>
    <w:multiLevelType w:val="hybridMultilevel"/>
    <w:lvl w:ilvl="0">
      <w:lvlJc w:val="left"/>
      <w:lvlText w:val="&lt;"/>
      <w:numFmt w:val="bullet"/>
      <w:start w:val="1"/>
    </w:lvl>
  </w:abstractNum>
  <w:abstractNum w:abstractNumId="8">
    <w:nsid w:val="1CF10FD8"/>
    <w:multiLevelType w:val="hybridMultilevel"/>
    <w:lvl w:ilvl="0">
      <w:lvlJc w:val="left"/>
      <w:lvlText w:val="&lt;"/>
      <w:numFmt w:val="bullet"/>
      <w:start w:val="1"/>
    </w:lvl>
  </w:abstractNum>
  <w:abstractNum w:abstractNumId="9">
    <w:nsid w:val="180115BE"/>
    <w:multiLevelType w:val="hybridMultilevel"/>
    <w:lvl w:ilvl="0">
      <w:lvlJc w:val="left"/>
      <w:lvlText w:val="&lt;"/>
      <w:numFmt w:val="bullet"/>
      <w:start w:val="1"/>
    </w:lvl>
  </w:abstractNum>
  <w:abstractNum w:abstractNumId="10">
    <w:nsid w:val="235BA861"/>
    <w:multiLevelType w:val="hybridMultilevel"/>
    <w:lvl w:ilvl="0">
      <w:lvlJc w:val="left"/>
      <w:lvlText w:val="&lt;"/>
      <w:numFmt w:val="bullet"/>
      <w:start w:val="1"/>
    </w:lvl>
    <w:lvl w:ilvl="1">
      <w:lvlJc w:val="left"/>
      <w:lvlText w:val="&lt;"/>
      <w:numFmt w:val="bullet"/>
      <w:start w:val="1"/>
    </w:lvl>
  </w:abstractNum>
  <w:abstractNum w:abstractNumId="11">
    <w:nsid w:val="47398C89"/>
    <w:multiLevelType w:val="hybridMultilevel"/>
    <w:lvl w:ilvl="0">
      <w:lvlJc w:val="left"/>
      <w:lvlText w:val="&lt;"/>
      <w:numFmt w:val="bullet"/>
      <w:start w:val="1"/>
    </w:lvl>
  </w:abstractNum>
  <w:abstractNum w:abstractNumId="12">
    <w:nsid w:val="354FE9F9"/>
    <w:multiLevelType w:val="hybridMultilevel"/>
    <w:lvl w:ilvl="0">
      <w:lvlJc w:val="left"/>
      <w:lvlText w:val="&lt;"/>
      <w:numFmt w:val="bullet"/>
      <w:start w:val="1"/>
    </w:lvl>
  </w:abstractNum>
  <w:abstractNum w:abstractNumId="13">
    <w:nsid w:val="15B5AF5C"/>
    <w:multiLevelType w:val="hybridMultilevel"/>
    <w:lvl w:ilvl="0">
      <w:lvlJc w:val="left"/>
      <w:lvlText w:val="&lt;"/>
      <w:numFmt w:val="bullet"/>
      <w:start w:val="1"/>
    </w:lvl>
  </w:abstractNum>
  <w:abstractNum w:abstractNumId="14">
    <w:nsid w:val="741226BB"/>
    <w:multiLevelType w:val="hybridMultilevel"/>
    <w:lvl w:ilvl="0">
      <w:lvlJc w:val="left"/>
      <w:lvlText w:val="&lt;"/>
      <w:numFmt w:val="bullet"/>
      <w:start w:val="1"/>
    </w:lvl>
  </w:abstractNum>
  <w:abstractNum w:abstractNumId="15">
    <w:nsid w:val="D34B6A8"/>
    <w:multiLevelType w:val="hybridMultilevel"/>
    <w:lvl w:ilvl="0">
      <w:lvlJc w:val="left"/>
      <w:lvlText w:val="&lt;"/>
      <w:numFmt w:val="bullet"/>
      <w:start w:val="1"/>
    </w:lvl>
  </w:abstractNum>
  <w:abstractNum w:abstractNumId="16">
    <w:nsid w:val="10233C99"/>
    <w:multiLevelType w:val="hybridMultilevel"/>
    <w:lvl w:ilvl="0">
      <w:lvlJc w:val="left"/>
      <w:lvlText w:val="&lt;"/>
      <w:numFmt w:val="bullet"/>
      <w:start w:val="1"/>
    </w:lvl>
  </w:abstractNum>
  <w:abstractNum w:abstractNumId="17">
    <w:nsid w:val="3F6AB60F"/>
    <w:multiLevelType w:val="hybridMultilevel"/>
    <w:lvl w:ilvl="0">
      <w:lvlJc w:val="left"/>
      <w:lvlText w:val="&lt;"/>
      <w:numFmt w:val="bullet"/>
      <w:start w:val="1"/>
    </w:lvl>
  </w:abstractNum>
  <w:abstractNum w:abstractNumId="18">
    <w:nsid w:val="61574095"/>
    <w:multiLevelType w:val="hybridMultilevel"/>
    <w:lvl w:ilvl="0">
      <w:lvlJc w:val="left"/>
      <w:lvlText w:val="&lt;"/>
      <w:numFmt w:val="bullet"/>
      <w:start w:val="1"/>
    </w:lvl>
  </w:abstractNum>
  <w:abstractNum w:abstractNumId="19">
    <w:nsid w:val="7E0C57B1"/>
    <w:multiLevelType w:val="hybridMultilevel"/>
    <w:lvl w:ilvl="0">
      <w:lvlJc w:val="left"/>
      <w:lvlText w:val="&lt;"/>
      <w:numFmt w:val="bullet"/>
      <w:start w:val="1"/>
    </w:lvl>
    <w:lvl w:ilvl="1">
      <w:lvlJc w:val="left"/>
      <w:lvlText w:val="&lt;"/>
      <w:numFmt w:val="bullet"/>
      <w:start w:val="1"/>
    </w:lvl>
  </w:abstractNum>
  <w:abstractNum w:abstractNumId="20">
    <w:nsid w:val="77AE35EB"/>
    <w:multiLevelType w:val="hybridMultilevel"/>
    <w:lvl w:ilvl="0">
      <w:lvlJc w:val="left"/>
      <w:lvlText w:val="&lt;"/>
      <w:numFmt w:val="bullet"/>
      <w:start w:val="1"/>
    </w:lvl>
  </w:abstractNum>
  <w:abstractNum w:abstractNumId="21">
    <w:nsid w:val="579BE4F1"/>
    <w:multiLevelType w:val="hybridMultilevel"/>
    <w:lvl w:ilvl="0">
      <w:lvlJc w:val="left"/>
      <w:lvlText w:val="&lt;"/>
      <w:numFmt w:val="bullet"/>
      <w:start w:val="1"/>
    </w:lvl>
  </w:abstractNum>
  <w:abstractNum w:abstractNumId="22">
    <w:nsid w:val="310C50B3"/>
    <w:multiLevelType w:val="hybridMultilevel"/>
    <w:lvl w:ilvl="0">
      <w:lvlJc w:val="left"/>
      <w:lvlText w:val="&lt;"/>
      <w:numFmt w:val="bullet"/>
      <w:start w:val="1"/>
    </w:lvl>
  </w:abstractNum>
  <w:abstractNum w:abstractNumId="23">
    <w:nsid w:val="5FF87E05"/>
    <w:multiLevelType w:val="hybridMultilevel"/>
    <w:lvl w:ilvl="0">
      <w:lvlJc w:val="left"/>
      <w:lvlText w:val="&lt;"/>
      <w:numFmt w:val="bullet"/>
      <w:start w:val="1"/>
    </w:lvl>
  </w:abstractNum>
  <w:abstractNum w:abstractNumId="24">
    <w:nsid w:val="2F305DEF"/>
    <w:multiLevelType w:val="hybridMultilevel"/>
    <w:lvl w:ilvl="0">
      <w:lvlJc w:val="left"/>
      <w:lvlText w:val="&lt;"/>
      <w:numFmt w:val="bullet"/>
      <w:start w:val="1"/>
    </w:lvl>
  </w:abstractNum>
  <w:abstractNum w:abstractNumId="25">
    <w:nsid w:val="25A70BF7"/>
    <w:multiLevelType w:val="hybridMultilevel"/>
    <w:lvl w:ilvl="0">
      <w:lvlJc w:val="left"/>
      <w:lvlText w:val="&lt;"/>
      <w:numFmt w:val="bullet"/>
      <w:start w:val="1"/>
    </w:lvl>
  </w:abstractNum>
  <w:abstractNum w:abstractNumId="26">
    <w:nsid w:val="1DBABF00"/>
    <w:multiLevelType w:val="hybridMultilevel"/>
    <w:lvl w:ilvl="0">
      <w:lvlJc w:val="left"/>
      <w:lvlText w:val="&lt;"/>
      <w:numFmt w:val="bullet"/>
      <w:start w:val="1"/>
    </w:lvl>
  </w:abstractNum>
  <w:abstractNum w:abstractNumId="27">
    <w:nsid w:val="4AD084E9"/>
    <w:multiLevelType w:val="hybridMultilevel"/>
    <w:lvl w:ilvl="0">
      <w:lvlJc w:val="left"/>
      <w:lvlText w:val="&lt;"/>
      <w:numFmt w:val="bullet"/>
      <w:start w:val="1"/>
    </w:lvl>
  </w:abstractNum>
  <w:abstractNum w:abstractNumId="28">
    <w:nsid w:val="1F48EAA1"/>
    <w:multiLevelType w:val="hybridMultilevel"/>
    <w:lvl w:ilvl="0">
      <w:lvlJc w:val="left"/>
      <w:lvlText w:val="&lt;"/>
      <w:numFmt w:val="bullet"/>
      <w:start w:val="1"/>
    </w:lvl>
  </w:abstractNum>
  <w:abstractNum w:abstractNumId="29">
    <w:nsid w:val="1381823A"/>
    <w:multiLevelType w:val="hybridMultilevel"/>
    <w:lvl w:ilvl="0">
      <w:lvlJc w:val="left"/>
      <w:lvlText w:val="&lt;"/>
      <w:numFmt w:val="bullet"/>
      <w:start w:val="1"/>
    </w:lvl>
  </w:abstractNum>
  <w:abstractNum w:abstractNumId="30">
    <w:nsid w:val="5DB70AE5"/>
    <w:multiLevelType w:val="hybridMultilevel"/>
    <w:lvl w:ilvl="0">
      <w:lvlJc w:val="left"/>
      <w:lvlText w:val="&lt;"/>
      <w:numFmt w:val="bullet"/>
      <w:start w:val="1"/>
    </w:lvl>
  </w:abstractNum>
  <w:abstractNum w:abstractNumId="31">
    <w:nsid w:val="100F8FCA"/>
    <w:multiLevelType w:val="hybridMultilevel"/>
    <w:lvl w:ilvl="0">
      <w:lvlJc w:val="left"/>
      <w:lvlText w:val="&lt;"/>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1."/>
      <w:numFmt w:val="decimal"/>
      <w:start w:val="1"/>
    </w:lvl>
    <w:lvl w:ilvl="1">
      <w:lvlJc w:val="left"/>
      <w:lvlText w:val="(%2)"/>
      <w:numFmt w:val="lowerRoman"/>
      <w:start w:val="6"/>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lvl w:ilvl="1">
      <w:lvlJc w:val="left"/>
      <w:lvlText w:val="(%2)"/>
      <w:numFmt w:val="lowerRoman"/>
      <w:start w:val="4"/>
    </w:lvl>
  </w:abstractNum>
  <w:abstractNum w:abstractNumId="41">
    <w:nsid w:val="661E3F1E"/>
    <w:multiLevelType w:val="hybridMultilevel"/>
    <w:lvl w:ilvl="0">
      <w:lvlJc w:val="left"/>
      <w:lvlText w:val="%1."/>
      <w:numFmt w:val="decimal"/>
      <w:start w:val="2"/>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1."/>
      <w:numFmt w:val="decimal"/>
      <w:start w:val="3"/>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1."/>
      <w:numFmt w:val="decimal"/>
      <w:start w:val="4"/>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1)"/>
      <w:numFmt w:val="lowerRoman"/>
      <w:start w:val="5"/>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1."/>
      <w:numFmt w:val="decimal"/>
      <w:start w:val="5"/>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1."/>
      <w:numFmt w:val="decimal"/>
      <w:start w:val="6"/>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7"/>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1."/>
      <w:numFmt w:val="decimal"/>
      <w:start w:val="8"/>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1."/>
      <w:numFmt w:val="decimal"/>
      <w:start w:val="9"/>
    </w:lvl>
    <w:lvl w:ilvl="1">
      <w:lvlJc w:val="left"/>
      <w:lvlText w:val="[***]"/>
      <w:numFmt w:val="bullet"/>
      <w:start w:val="1"/>
    </w:lvl>
  </w:abstractNum>
  <w:abstractNum w:abstractNumId="66">
    <w:nsid w:val="94211F2"/>
    <w:multiLevelType w:val="hybridMultilevel"/>
    <w:lvl w:ilvl="0">
      <w:lvlJc w:val="left"/>
      <w:lvlText w:val="[***]"/>
      <w:numFmt w:val="bullet"/>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1."/>
      <w:numFmt w:val="decimal"/>
      <w:start w:val="10"/>
    </w:lvl>
  </w:abstractNum>
  <w:abstractNum w:abstractNumId="70">
    <w:nsid w:val="1716703B"/>
    <w:multiLevelType w:val="hybridMultilevel"/>
    <w:lvl w:ilvl="0">
      <w:lvlJc w:val="left"/>
      <w:lvlText w:val="[***]"/>
      <w:numFmt w:val="bullet"/>
      <w:start w:val="1"/>
    </w:lvl>
  </w:abstractNum>
  <w:abstractNum w:abstractNumId="71">
    <w:nsid w:val="14E17E33"/>
    <w:multiLevelType w:val="hybridMultilevel"/>
    <w:lvl w:ilvl="0">
      <w:lvlJc w:val="left"/>
      <w:lvlText w:val="[***]"/>
      <w:numFmt w:val="bullet"/>
      <w:start w:val="1"/>
    </w:lvl>
  </w:abstractNum>
  <w:abstractNum w:abstractNumId="72">
    <w:nsid w:val="3222E7CD"/>
    <w:multiLevelType w:val="hybridMultilevel"/>
    <w:lvl w:ilvl="0">
      <w:lvlJc w:val="left"/>
      <w:lvlText w:val="%1."/>
      <w:numFmt w:val="decimal"/>
      <w:start w:val="1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
      <w:numFmt w:val="bullet"/>
      <w:start w:val="1"/>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
      <w:numFmt w:val="bullet"/>
      <w:start w:val="1"/>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1."/>
      <w:numFmt w:val="decimal"/>
      <w:start w:val="13"/>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lowerRoman"/>
      <w:start w:val="3"/>
    </w:lvl>
  </w:abstractNum>
  <w:abstractNum w:abstractNumId="82">
    <w:nsid w:val="60EF0119"/>
    <w:multiLevelType w:val="hybridMultilevel"/>
    <w:lvl w:ilvl="0">
      <w:lvlJc w:val="left"/>
      <w:lvlText w:val="%1."/>
      <w:numFmt w:val="decimal"/>
      <w:start w:val="15"/>
    </w:lvl>
  </w:abstractNum>
  <w:abstractNum w:abstractNumId="83">
    <w:nsid w:val="26F324BA"/>
    <w:multiLevelType w:val="hybridMultilevel"/>
    <w:lvl w:ilvl="0">
      <w:lvlJc w:val="left"/>
      <w:lvlText w:val="[***]"/>
      <w:numFmt w:val="bullet"/>
      <w:start w:val="1"/>
    </w:lvl>
  </w:abstractNum>
  <w:abstractNum w:abstractNumId="84">
    <w:nsid w:val="7F01579B"/>
    <w:multiLevelType w:val="hybridMultilevel"/>
    <w:lvl w:ilvl="0">
      <w:lvlJc w:val="left"/>
      <w:lvlText w:val="[***]"/>
      <w:numFmt w:val="bullet"/>
      <w:start w:val="1"/>
    </w:lvl>
  </w:abstractNum>
  <w:abstractNum w:abstractNumId="85">
    <w:nsid w:val="49DA307D"/>
    <w:multiLevelType w:val="hybridMultilevel"/>
    <w:lvl w:ilvl="0">
      <w:lvlJc w:val="left"/>
      <w:lvlText w:val="%1."/>
      <w:numFmt w:val="decimal"/>
      <w:start w:val="16"/>
    </w:lvl>
  </w:abstractNum>
  <w:abstractNum w:abstractNumId="86">
    <w:nsid w:val="7055A5F5"/>
    <w:multiLevelType w:val="hybridMultilevel"/>
    <w:lvl w:ilvl="0">
      <w:lvlJc w:val="left"/>
      <w:lvlText w:val="%1."/>
      <w:numFmt w:val="decimal"/>
      <w:start w:val="17"/>
    </w:lvl>
    <w:lvl w:ilvl="1">
      <w:lvlJc w:val="left"/>
      <w:lvlText w:val="[***]"/>
      <w:numFmt w:val="bullet"/>
      <w:start w:val="1"/>
    </w:lvl>
  </w:abstractNum>
  <w:abstractNum w:abstractNumId="87">
    <w:nsid w:val="5FB8370B"/>
    <w:multiLevelType w:val="hybridMultilevel"/>
    <w:lvl w:ilvl="0">
      <w:lvlJc w:val="left"/>
      <w:lvlText w:val="[***]"/>
      <w:numFmt w:val="bullet"/>
      <w:start w:val="1"/>
    </w:lvl>
  </w:abstractNum>
  <w:abstractNum w:abstractNumId="88">
    <w:nsid w:val="50801EE1"/>
    <w:multiLevelType w:val="hybridMultilevel"/>
    <w:lvl w:ilvl="0">
      <w:lvlJc w:val="left"/>
      <w:lvlText w:val="%1."/>
      <w:numFmt w:val="decimal"/>
      <w:start w:val="21"/>
    </w:lvl>
  </w:abstractNum>
  <w:abstractNum w:abstractNumId="89">
    <w:nsid w:val="488AC1A"/>
    <w:multiLevelType w:val="hybridMultilevel"/>
    <w:lvl w:ilvl="0">
      <w:lvlJc w:val="left"/>
      <w:lvlText w:val="%1."/>
      <w:numFmt w:val="decimal"/>
      <w:start w:val="22"/>
    </w:lvl>
  </w:abstractNum>
  <w:abstractNum w:abstractNumId="90">
    <w:nsid w:val="5FB8011C"/>
    <w:multiLevelType w:val="hybridMultilevel"/>
    <w:lvl w:ilvl="0">
      <w:lvlJc w:val="left"/>
      <w:lvlText w:val="[***]"/>
      <w:numFmt w:val="bullet"/>
      <w:start w:val="1"/>
    </w:lvl>
  </w:abstractNum>
  <w:abstractNum w:abstractNumId="91">
    <w:nsid w:val="6AA78F7F"/>
    <w:multiLevelType w:val="hybridMultilevel"/>
    <w:lvl w:ilvl="0">
      <w:lvlJc w:val="left"/>
      <w:lvlText w:val="%1."/>
      <w:numFmt w:val="decimal"/>
      <w:start w:val="24"/>
    </w:lvl>
  </w:abstractNum>
  <w:abstractNum w:abstractNumId="92">
    <w:nsid w:val="7672BD23"/>
    <w:multiLevelType w:val="hybridMultilevel"/>
    <w:lvl w:ilvl="0">
      <w:lvlJc w:val="left"/>
      <w:lvlText w:val="[***]"/>
      <w:numFmt w:val="bullet"/>
      <w:start w:val="1"/>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1."/>
      <w:numFmt w:val="decimal"/>
      <w:start w:val="1"/>
    </w:lvl>
  </w:abstractNum>
  <w:abstractNum w:abstractNumId="96">
    <w:nsid w:val="5F3534A4"/>
    <w:multiLevelType w:val="hybridMultilevel"/>
    <w:lvl w:ilvl="0">
      <w:lvlJc w:val="left"/>
      <w:lvlText w:val="[***]"/>
      <w:numFmt w:val="bullet"/>
      <w:start w:val="1"/>
    </w:lvl>
  </w:abstractNum>
  <w:abstractNum w:abstractNumId="97">
    <w:nsid w:val="73A1821B"/>
    <w:multiLevelType w:val="hybridMultilevel"/>
    <w:lvl w:ilvl="0">
      <w:lvlJc w:val="left"/>
      <w:lvlText w:val="%1."/>
      <w:numFmt w:val="decimal"/>
      <w:start w:val="5"/>
    </w:lvl>
    <w:lvl w:ilvl="1">
      <w:lvlJc w:val="left"/>
      <w:lvlText w:val="[***]"/>
      <w:numFmt w:val="bullet"/>
      <w:start w:val="1"/>
    </w:lvl>
  </w:abstractNum>
  <w:abstractNum w:abstractNumId="98">
    <w:nsid w:val="7DE67713"/>
    <w:multiLevelType w:val="hybridMultilevel"/>
    <w:lvl w:ilvl="0">
      <w:lvlJc w:val="left"/>
      <w:lvlText w:val="%1."/>
      <w:numFmt w:val="decimal"/>
      <w:start w:val="9"/>
    </w:lvl>
    <w:lvl w:ilvl="1">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1."/>
      <w:numFmt w:val="decimal"/>
      <w:start w:val="11"/>
    </w:lvl>
    <w:lvl w:ilvl="1">
      <w:lvlJc w:val="left"/>
      <w:lvlText w:val="•"/>
      <w:numFmt w:val="bullet"/>
      <w:start w:val="1"/>
    </w:lvl>
    <w:lvl w:ilvl="2">
      <w:lvlJc w:val="left"/>
      <w:lvlText w:val="[***]"/>
      <w:numFmt w:val="bullet"/>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2019-12-28T17:55:46Z</dcterms:created>
  <dcterms:modified xsi:type="dcterms:W3CDTF">2019-12-28T17:55:46Z</dcterms:modified>
</cp:coreProperties>
</file>