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February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XERIS PHARMACEUTICALS,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4020" w:type="dxa"/>
            <w:vAlign w:val="bottom"/>
          </w:tcPr>
          <w:p>
            <w:pPr>
              <w:jc w:val="center"/>
              <w:ind w:right="229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ind w:left="160"/>
              <w:spacing w:after="0"/>
              <w:rPr>
                <w:sz w:val="20"/>
                <w:szCs w:val="20"/>
                <w:color w:val="auto"/>
              </w:rPr>
            </w:pPr>
            <w:r>
              <w:rPr>
                <w:rFonts w:ascii="Arial" w:cs="Arial" w:eastAsia="Arial" w:hAnsi="Arial"/>
                <w:sz w:val="18"/>
                <w:szCs w:val="18"/>
                <w:b w:val="1"/>
                <w:bCs w:val="1"/>
                <w:color w:val="auto"/>
              </w:rPr>
              <w:t>001-38536</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20-3352427</w:t>
            </w:r>
          </w:p>
        </w:tc>
      </w:tr>
      <w:tr>
        <w:trPr>
          <w:trHeight w:val="149"/>
        </w:trPr>
        <w:tc>
          <w:tcPr>
            <w:tcW w:w="4020" w:type="dxa"/>
            <w:vAlign w:val="bottom"/>
          </w:tcPr>
          <w:p>
            <w:pPr>
              <w:jc w:val="center"/>
              <w:ind w:right="22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tcPr>
          <w:p>
            <w:pPr>
              <w:jc w:val="center"/>
              <w:ind w:right="2319"/>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14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20" w:type="dxa"/>
            <w:vAlign w:val="bottom"/>
          </w:tcPr>
          <w:p>
            <w:pPr>
              <w:jc w:val="center"/>
              <w:ind w:left="1159"/>
              <w:spacing w:after="0"/>
              <w:rPr>
                <w:sz w:val="20"/>
                <w:szCs w:val="20"/>
                <w:color w:val="auto"/>
              </w:rPr>
            </w:pPr>
            <w:r>
              <w:rPr>
                <w:rFonts w:ascii="Arial" w:cs="Arial" w:eastAsia="Arial" w:hAnsi="Arial"/>
                <w:sz w:val="18"/>
                <w:szCs w:val="18"/>
                <w:b w:val="1"/>
                <w:bCs w:val="1"/>
                <w:color w:val="auto"/>
                <w:w w:val="90"/>
              </w:rPr>
              <w:t>180 N. LaSalle Street, Suite 1600</w:t>
            </w:r>
          </w:p>
        </w:tc>
        <w:tc>
          <w:tcPr>
            <w:tcW w:w="23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020" w:type="dxa"/>
            <w:vAlign w:val="bottom"/>
          </w:tcPr>
          <w:p>
            <w:pPr>
              <w:jc w:val="center"/>
              <w:ind w:left="1179"/>
              <w:spacing w:after="0"/>
              <w:rPr>
                <w:sz w:val="20"/>
                <w:szCs w:val="20"/>
                <w:color w:val="auto"/>
              </w:rPr>
            </w:pPr>
            <w:r>
              <w:rPr>
                <w:rFonts w:ascii="Arial" w:cs="Arial" w:eastAsia="Arial" w:hAnsi="Arial"/>
                <w:sz w:val="18"/>
                <w:szCs w:val="18"/>
                <w:b w:val="1"/>
                <w:bCs w:val="1"/>
                <w:color w:val="auto"/>
                <w:w w:val="89"/>
              </w:rPr>
              <w:t>Chicago, Illinois</w:t>
            </w:r>
          </w:p>
        </w:tc>
        <w:tc>
          <w:tcPr>
            <w:tcW w:w="230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60601</w:t>
            </w:r>
          </w:p>
        </w:tc>
      </w:tr>
      <w:tr>
        <w:trPr>
          <w:trHeight w:val="186"/>
        </w:trPr>
        <w:tc>
          <w:tcPr>
            <w:tcW w:w="4020" w:type="dxa"/>
            <w:vAlign w:val="bottom"/>
          </w:tcPr>
          <w:p>
            <w:pPr>
              <w:jc w:val="center"/>
              <w:ind w:left="11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0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(844) 445-5704</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240.13d-4(c))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each exchange on which</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XERS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29"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Agreement</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February 11, 2020, Xeris Pharmaceuticals, Inc., a Delaware corporation (the “Company”), entered into an underwriting agreement (the “Underwriting Agreement”) with Jefferies LLC and Piper Sandler &amp; Co., as representatives of the several underwriters listed therein (the “Underwriters”), related to an underwritten public offering (the “Offering”) of 9,000,000 shares (the “Shares”) of the Company’s common stock, $0.0001 par value per share (the “Common Stock”), at a public offering price of $4.15 per Share, before underwriting discounts and commissions. Pursuant to the terms of the Underwriting Agreement, the Company granted the Underwriters an option, exercisable for 30 days, to purchase up to an additional 1,350,000 shares of Common Stock. The gross proceeds to the Company, before deducting the underwriting discounts and commissions and estimated expenses associated with the Offering payable by the Company, are expected to be approximately $37.4 million (assuming the Underwriters do not exercise their option to purchase additional shares). The closing of the Offering is expected to occur on or about February 14, 2020, subject to the satisfaction of customary closing conditions.</w:t>
      </w:r>
    </w:p>
    <w:p>
      <w:pPr>
        <w:spacing w:after="0" w:line="197" w:lineRule="exact"/>
        <w:rPr>
          <w:sz w:val="20"/>
          <w:szCs w:val="20"/>
          <w:color w:val="auto"/>
        </w:rPr>
      </w:pPr>
    </w:p>
    <w:p>
      <w:pPr>
        <w:ind w:right="680"/>
        <w:spacing w:after="0" w:line="286" w:lineRule="auto"/>
        <w:rPr>
          <w:sz w:val="20"/>
          <w:szCs w:val="20"/>
          <w:color w:val="auto"/>
        </w:rPr>
      </w:pPr>
      <w:r>
        <w:rPr>
          <w:rFonts w:ascii="Arial" w:cs="Arial" w:eastAsia="Arial" w:hAnsi="Arial"/>
          <w:sz w:val="17"/>
          <w:szCs w:val="17"/>
          <w:color w:val="auto"/>
        </w:rPr>
        <w:t>The Shares are being offered and sold pursuant to a prospectus dated August 21, 2019 and a prospectus supplement dated February 11, 2020, in connection with a takedown from the Company’s shelf registration statement on Form S-3 (Registration No. 333-233061) (the “Registration Statement”), which the U.S. Securities and Exchange Commission declared effective on August 21, 2019.</w:t>
      </w:r>
    </w:p>
    <w:p>
      <w:pPr>
        <w:spacing w:after="0" w:line="166"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Underwriting Agreement contains customary representations, warranties, covenants, conditions to closing, indemnification and other obligations of the parties and termination provisions.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copy of the legal opinion of Goodwin Procter LLP, relating to the validity of the Shares issued in the Offering, is filed as Exhibit 5.1 to this Current Report on Form 8-K and is filed with reference to, and is hereby incorporated by reference into, the Registration Statement.</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foregoing description of the Underwriting Agreement does not purport to be complete and is qualified in its entirety by reference to the text of the Underwriting Agreement, which is included as Exhibit 1.1 to this Current Report on Form 8-K and incorporated by reference herein.</w:t>
      </w:r>
    </w:p>
    <w:p>
      <w:pPr>
        <w:spacing w:after="0" w:line="14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Underwriting Agreement has been filed with this Current Report on Form 8-K to provide investors and security holders with information regarding its terms. It is not intended to provide any other factual information about the Company. The representations, warranties and covenants contained in the Underwriting Agreement were made only for purposes of such agreement and as of specific dates, and were solely for the benefit of the parties to such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10, 2020, the Company issued a press release announcing the commencement of the Offering. A copy of the press release is attached hereto as Exhibit 99.1 and is incorporated herein by reference.</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On February 11, 2020, the Company issued a press release announcing its entry into the Underwriting Agreement. A copy of the press release is attached hereto as Exhibit 99.2 and is incorporated herein by reference.</w:t>
      </w:r>
    </w:p>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900" w:type="dxa"/>
            <w:vAlign w:val="bottom"/>
            <w:gridSpan w:val="4"/>
            <w:vMerge w:val="restart"/>
          </w:tcPr>
          <w:p>
            <w:pPr>
              <w:ind w:left="19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88"/>
              </w:rPr>
              <w:t>No.</w:t>
            </w:r>
          </w:p>
        </w:tc>
        <w:tc>
          <w:tcPr>
            <w:tcW w:w="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9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4"/>
                <w:szCs w:val="24"/>
                <w:color w:val="auto"/>
              </w:rPr>
            </w:pPr>
          </w:p>
        </w:tc>
        <w:tc>
          <w:tcPr>
            <w:tcW w:w="96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Underwriting Agreement, dated February 11, 2020, by and among Xeris Pharmaceuticals, Inc., Jefferies LLC and Piper Sandler &amp; Co.</w:t>
              </w:r>
            </w:hyperlink>
          </w:p>
        </w:tc>
        <w:tc>
          <w:tcPr>
            <w:tcW w:w="0" w:type="dxa"/>
            <w:vAlign w:val="bottom"/>
          </w:tcPr>
          <w:p>
            <w:pPr>
              <w:spacing w:after="0"/>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2460" w:type="dxa"/>
            <w:vAlign w:val="bottom"/>
            <w:tcBorders>
              <w:bottom w:val="single" w:sz="8" w:color="0000EE"/>
            </w:tcBorders>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Opinion of Goodwin Procter LLP.</w:t>
              </w:r>
            </w:hyperlink>
          </w:p>
        </w:tc>
        <w:tc>
          <w:tcPr>
            <w:tcW w:w="7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23.1</w:t>
            </w:r>
          </w:p>
        </w:tc>
        <w:tc>
          <w:tcPr>
            <w:tcW w:w="540" w:type="dxa"/>
            <w:vAlign w:val="bottom"/>
          </w:tcPr>
          <w:p>
            <w:pPr>
              <w:spacing w:after="0"/>
              <w:rPr>
                <w:sz w:val="24"/>
                <w:szCs w:val="24"/>
                <w:color w:val="auto"/>
              </w:rPr>
            </w:pPr>
          </w:p>
        </w:tc>
        <w:tc>
          <w:tcPr>
            <w:tcW w:w="56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Consent of Goodwin Procter LLP (included in its opinion filed as Exhibit 5.1).</w:t>
              </w:r>
            </w:hyperlink>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99.1</w:t>
            </w:r>
          </w:p>
        </w:tc>
        <w:tc>
          <w:tcPr>
            <w:tcW w:w="540" w:type="dxa"/>
            <w:vAlign w:val="bottom"/>
          </w:tcPr>
          <w:p>
            <w:pPr>
              <w:spacing w:after="0"/>
              <w:rPr>
                <w:sz w:val="24"/>
                <w:szCs w:val="24"/>
                <w:color w:val="auto"/>
              </w:rPr>
            </w:pPr>
          </w:p>
        </w:tc>
        <w:tc>
          <w:tcPr>
            <w:tcW w:w="278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51">
              <w:r>
                <w:rPr>
                  <w:rFonts w:ascii="Arial" w:cs="Arial" w:eastAsia="Arial" w:hAnsi="Arial"/>
                  <w:sz w:val="18"/>
                  <w:szCs w:val="18"/>
                  <w:color w:val="0000EE"/>
                  <w:w w:val="87"/>
                </w:rPr>
                <w:t>Press release dated February 10, 2020.</w:t>
              </w:r>
            </w:hyperlink>
          </w:p>
        </w:tc>
        <w:tc>
          <w:tcPr>
            <w:tcW w:w="69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99.2</w:t>
            </w:r>
          </w:p>
        </w:tc>
        <w:tc>
          <w:tcPr>
            <w:tcW w:w="540" w:type="dxa"/>
            <w:vAlign w:val="bottom"/>
          </w:tcPr>
          <w:p>
            <w:pPr>
              <w:spacing w:after="0"/>
              <w:rPr>
                <w:sz w:val="24"/>
                <w:szCs w:val="24"/>
                <w:color w:val="auto"/>
              </w:rPr>
            </w:pPr>
          </w:p>
        </w:tc>
        <w:tc>
          <w:tcPr>
            <w:tcW w:w="9680" w:type="dxa"/>
            <w:vAlign w:val="bottom"/>
            <w:gridSpan w:val="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Press release dated February 11, 2020.</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560"/>
          </w:cols>
          <w:pgMar w:left="440" w:top="270" w:right="899" w:bottom="1440" w:gutter="0" w:footer="0" w:header="0"/>
        </w:sectPr>
      </w:pPr>
    </w:p>
    <w:bookmarkStart w:id="3" w:name="page4"/>
    <w:bookmarkEnd w:id="3"/>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February 13, 2020</w:t>
      </w:r>
      <w:r>
        <w:rPr>
          <w:sz w:val="20"/>
          <w:szCs w:val="20"/>
          <w:color w:val="auto"/>
        </w:rPr>
        <w:tab/>
      </w:r>
      <w:r>
        <w:rPr>
          <w:rFonts w:ascii="Arial" w:cs="Arial" w:eastAsia="Arial" w:hAnsi="Arial"/>
          <w:sz w:val="16"/>
          <w:szCs w:val="16"/>
          <w:b w:val="1"/>
          <w:bCs w:val="1"/>
          <w:color w:val="auto"/>
        </w:rPr>
        <w:t>Xeris Pharmaceuticals, Inc.</w:t>
      </w:r>
    </w:p>
    <w:p>
      <w:pPr>
        <w:spacing w:after="0" w:line="229"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Barry M. Deutsch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Barry M. Deutsch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80"/>
          </w:cols>
          <w:pgMar w:left="440" w:top="270" w:right="11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9,000,000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Xeris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February 11,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PIPER SANDLER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 Nicolette Mall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b w:val="1"/>
          <w:bCs w:val="1"/>
          <w:color w:val="auto"/>
        </w:rPr>
        <w:t xml:space="preserve">Introductory. </w:t>
      </w:r>
      <w:r>
        <w:rPr>
          <w:rFonts w:ascii="Arial" w:cs="Arial" w:eastAsia="Arial" w:hAnsi="Arial"/>
          <w:sz w:val="17"/>
          <w:szCs w:val="17"/>
          <w:color w:val="auto"/>
        </w:rPr>
        <w:t>Xeris Pharmaceuticals,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 named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(the “</w:t>
      </w:r>
      <w:r>
        <w:rPr>
          <w:rFonts w:ascii="Arial" w:cs="Arial" w:eastAsia="Arial" w:hAnsi="Arial"/>
          <w:sz w:val="17"/>
          <w:szCs w:val="17"/>
          <w:b w:val="1"/>
          <w:bCs w:val="1"/>
          <w:color w:val="auto"/>
        </w:rPr>
        <w:t>Underwriters</w:t>
      </w:r>
      <w:r>
        <w:rPr>
          <w:rFonts w:ascii="Arial" w:cs="Arial" w:eastAsia="Arial" w:hAnsi="Arial"/>
          <w:sz w:val="17"/>
          <w:szCs w:val="17"/>
          <w:color w:val="auto"/>
        </w:rPr>
        <w:t>”) an aggregate of 9,000,000 shares of its common stock, par value $0.0001 per share (the “</w:t>
      </w:r>
      <w:r>
        <w:rPr>
          <w:rFonts w:ascii="Arial" w:cs="Arial" w:eastAsia="Arial" w:hAnsi="Arial"/>
          <w:sz w:val="17"/>
          <w:szCs w:val="17"/>
          <w:b w:val="1"/>
          <w:bCs w:val="1"/>
          <w:color w:val="auto"/>
        </w:rPr>
        <w:t>Shares</w:t>
      </w:r>
      <w:r>
        <w:rPr>
          <w:rFonts w:ascii="Arial" w:cs="Arial" w:eastAsia="Arial" w:hAnsi="Arial"/>
          <w:sz w:val="17"/>
          <w:szCs w:val="17"/>
          <w:color w:val="auto"/>
        </w:rPr>
        <w:t>”). The 9,000,000 Shares to be sold by the Company are called the “</w:t>
      </w:r>
      <w:r>
        <w:rPr>
          <w:rFonts w:ascii="Arial" w:cs="Arial" w:eastAsia="Arial" w:hAnsi="Arial"/>
          <w:sz w:val="17"/>
          <w:szCs w:val="17"/>
          <w:b w:val="1"/>
          <w:bCs w:val="1"/>
          <w:color w:val="auto"/>
        </w:rPr>
        <w:t>Firm Shares</w:t>
      </w:r>
      <w:r>
        <w:rPr>
          <w:rFonts w:ascii="Arial" w:cs="Arial" w:eastAsia="Arial" w:hAnsi="Arial"/>
          <w:sz w:val="17"/>
          <w:szCs w:val="17"/>
          <w:color w:val="auto"/>
        </w:rPr>
        <w:t>.” In addition, the Company has granted to the Underwriters an option to purchase up to an additional 1,350,000 Shares as provided in Section 2. The additional 1,350,000 Shares to be sold by the Company pursuant to such option are collectively called the “</w:t>
      </w:r>
      <w:r>
        <w:rPr>
          <w:rFonts w:ascii="Arial" w:cs="Arial" w:eastAsia="Arial" w:hAnsi="Arial"/>
          <w:sz w:val="17"/>
          <w:szCs w:val="17"/>
          <w:b w:val="1"/>
          <w:bCs w:val="1"/>
          <w:color w:val="auto"/>
        </w:rPr>
        <w:t>Optional Shares</w:t>
      </w:r>
      <w:r>
        <w:rPr>
          <w:rFonts w:ascii="Arial" w:cs="Arial" w:eastAsia="Arial" w:hAnsi="Arial"/>
          <w:sz w:val="17"/>
          <w:szCs w:val="17"/>
          <w:color w:val="auto"/>
        </w:rPr>
        <w:t>.” The Firm Shares and, if and to the extent such option is exercised, the Optional Shares are collectively called the “</w:t>
      </w:r>
      <w:r>
        <w:rPr>
          <w:rFonts w:ascii="Arial" w:cs="Arial" w:eastAsia="Arial" w:hAnsi="Arial"/>
          <w:sz w:val="17"/>
          <w:szCs w:val="17"/>
          <w:b w:val="1"/>
          <w:bCs w:val="1"/>
          <w:color w:val="auto"/>
        </w:rPr>
        <w:t>Offered Shares</w:t>
      </w:r>
      <w:r>
        <w:rPr>
          <w:rFonts w:ascii="Arial" w:cs="Arial" w:eastAsia="Arial" w:hAnsi="Arial"/>
          <w:sz w:val="17"/>
          <w:szCs w:val="17"/>
          <w:color w:val="auto"/>
        </w:rPr>
        <w:t>.” Jefferies LLC (“</w:t>
      </w:r>
      <w:r>
        <w:rPr>
          <w:rFonts w:ascii="Arial" w:cs="Arial" w:eastAsia="Arial" w:hAnsi="Arial"/>
          <w:sz w:val="17"/>
          <w:szCs w:val="17"/>
          <w:b w:val="1"/>
          <w:bCs w:val="1"/>
          <w:color w:val="auto"/>
        </w:rPr>
        <w:t>Jefferies</w:t>
      </w:r>
      <w:r>
        <w:rPr>
          <w:rFonts w:ascii="Arial" w:cs="Arial" w:eastAsia="Arial" w:hAnsi="Arial"/>
          <w:sz w:val="17"/>
          <w:szCs w:val="17"/>
          <w:color w:val="auto"/>
        </w:rPr>
        <w:t>”) and Piper Sandler &amp; Co. (“</w:t>
      </w:r>
      <w:r>
        <w:rPr>
          <w:rFonts w:ascii="Arial" w:cs="Arial" w:eastAsia="Arial" w:hAnsi="Arial"/>
          <w:sz w:val="17"/>
          <w:szCs w:val="17"/>
          <w:b w:val="1"/>
          <w:bCs w:val="1"/>
          <w:color w:val="auto"/>
        </w:rPr>
        <w:t>Piper</w:t>
      </w:r>
      <w:r>
        <w:rPr>
          <w:rFonts w:ascii="Arial" w:cs="Arial" w:eastAsia="Arial" w:hAnsi="Arial"/>
          <w:sz w:val="17"/>
          <w:szCs w:val="17"/>
          <w:color w:val="auto"/>
        </w:rPr>
        <w:t>”) have agreed to act as representatives of the several Underwriters (in such capacity, the “</w:t>
      </w:r>
      <w:r>
        <w:rPr>
          <w:rFonts w:ascii="Arial" w:cs="Arial" w:eastAsia="Arial" w:hAnsi="Arial"/>
          <w:sz w:val="17"/>
          <w:szCs w:val="17"/>
          <w:b w:val="1"/>
          <w:bCs w:val="1"/>
          <w:color w:val="auto"/>
        </w:rPr>
        <w:t>Representatives</w:t>
      </w:r>
      <w:r>
        <w:rPr>
          <w:rFonts w:ascii="Arial" w:cs="Arial" w:eastAsia="Arial" w:hAnsi="Arial"/>
          <w:sz w:val="17"/>
          <w:szCs w:val="17"/>
          <w:color w:val="auto"/>
        </w:rPr>
        <w:t xml:space="preserve">”) in connection with the offering and sale of the Offered Shares. To the extent there are no additional underwriters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the term “Representatives” as used herein shall mean you, as Underwriters, and the term “Underwriters” shall mean either the singular or the plural, as the context requires.</w:t>
      </w:r>
    </w:p>
    <w:p>
      <w:pPr>
        <w:spacing w:after="0" w:line="174" w:lineRule="exact"/>
        <w:rPr>
          <w:sz w:val="20"/>
          <w:szCs w:val="20"/>
          <w:color w:val="auto"/>
        </w:rPr>
      </w:pPr>
    </w:p>
    <w:p>
      <w:pPr>
        <w:ind w:right="120" w:firstLine="441"/>
        <w:spacing w:after="0" w:line="270" w:lineRule="auto"/>
        <w:rPr>
          <w:sz w:val="20"/>
          <w:szCs w:val="20"/>
          <w:color w:val="auto"/>
        </w:rPr>
      </w:pPr>
      <w:r>
        <w:rPr>
          <w:rFonts w:ascii="Arial" w:cs="Arial" w:eastAsia="Arial" w:hAnsi="Arial"/>
          <w:sz w:val="17"/>
          <w:szCs w:val="17"/>
          <w:color w:val="auto"/>
        </w:rPr>
        <w:t>The Company has prepared and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shelf registration statement on Form S-3, File No. 333-233061, including a base prospectus (the “</w:t>
      </w:r>
      <w:r>
        <w:rPr>
          <w:rFonts w:ascii="Arial" w:cs="Arial" w:eastAsia="Arial" w:hAnsi="Arial"/>
          <w:sz w:val="17"/>
          <w:szCs w:val="17"/>
          <w:b w:val="1"/>
          <w:bCs w:val="1"/>
          <w:color w:val="auto"/>
        </w:rPr>
        <w:t>Base Prospectus</w:t>
      </w:r>
      <w:r>
        <w:rPr>
          <w:rFonts w:ascii="Arial" w:cs="Arial" w:eastAsia="Arial" w:hAnsi="Arial"/>
          <w:sz w:val="17"/>
          <w:szCs w:val="17"/>
          <w:color w:val="auto"/>
        </w:rPr>
        <w:t>”) to be used in connection with the public offering and sale of the Offered Shares.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Arial" w:cs="Arial" w:eastAsia="Arial" w:hAnsi="Arial"/>
          <w:sz w:val="17"/>
          <w:szCs w:val="17"/>
          <w:b w:val="1"/>
          <w:bCs w:val="1"/>
          <w:color w:val="auto"/>
        </w:rPr>
        <w:t>Securities</w:t>
      </w:r>
      <w:r>
        <w:rPr>
          <w:rFonts w:ascii="Arial" w:cs="Arial" w:eastAsia="Arial" w:hAnsi="Arial"/>
          <w:sz w:val="17"/>
          <w:szCs w:val="17"/>
          <w:color w:val="auto"/>
        </w:rPr>
        <w:t xml:space="preserve"> </w:t>
      </w:r>
      <w:r>
        <w:rPr>
          <w:rFonts w:ascii="Arial" w:cs="Arial" w:eastAsia="Arial" w:hAnsi="Arial"/>
          <w:sz w:val="17"/>
          <w:szCs w:val="17"/>
          <w:b w:val="1"/>
          <w:bCs w:val="1"/>
          <w:color w:val="auto"/>
        </w:rPr>
        <w:t>Act</w:t>
      </w:r>
      <w:r>
        <w:rPr>
          <w:rFonts w:ascii="Arial" w:cs="Arial" w:eastAsia="Arial" w:hAnsi="Arial"/>
          <w:sz w:val="17"/>
          <w:szCs w:val="17"/>
          <w:color w:val="auto"/>
        </w:rPr>
        <w:t>”), including all documents incorporated or deemed to be incorporated by reference therein and any information deemed to be a part thereof at the</w:t>
      </w:r>
      <w:r>
        <w:rPr>
          <w:rFonts w:ascii="Arial" w:cs="Arial" w:eastAsia="Arial" w:hAnsi="Arial"/>
          <w:sz w:val="17"/>
          <w:szCs w:val="17"/>
          <w:b w:val="1"/>
          <w:bCs w:val="1"/>
          <w:color w:val="auto"/>
        </w:rPr>
        <w:t xml:space="preserve"> </w:t>
      </w:r>
      <w:r>
        <w:rPr>
          <w:rFonts w:ascii="Arial" w:cs="Arial" w:eastAsia="Arial" w:hAnsi="Arial"/>
          <w:sz w:val="17"/>
          <w:szCs w:val="17"/>
          <w:color w:val="auto"/>
        </w:rPr>
        <w:t>time of effectiveness pursuant to Rule 430A or Rule 430B under the Securities Act, is called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Any registration statement filed by the Company pursuant to Rule 462(b) under the Securities Act in connection with the offer and sale of the Offered Shares is called the “</w:t>
      </w:r>
      <w:r>
        <w:rPr>
          <w:rFonts w:ascii="Arial" w:cs="Arial" w:eastAsia="Arial" w:hAnsi="Arial"/>
          <w:sz w:val="17"/>
          <w:szCs w:val="17"/>
          <w:b w:val="1"/>
          <w:bCs w:val="1"/>
          <w:color w:val="auto"/>
        </w:rPr>
        <w:t>Rule</w:t>
      </w:r>
      <w:r>
        <w:rPr>
          <w:rFonts w:ascii="Arial" w:cs="Arial" w:eastAsia="Arial" w:hAnsi="Arial"/>
          <w:sz w:val="17"/>
          <w:szCs w:val="17"/>
          <w:color w:val="auto"/>
        </w:rPr>
        <w:t xml:space="preserve"> </w:t>
      </w:r>
      <w:r>
        <w:rPr>
          <w:rFonts w:ascii="Arial" w:cs="Arial" w:eastAsia="Arial" w:hAnsi="Arial"/>
          <w:sz w:val="17"/>
          <w:szCs w:val="17"/>
          <w:b w:val="1"/>
          <w:bCs w:val="1"/>
          <w:color w:val="auto"/>
        </w:rPr>
        <w:t>462(b) Registration Statement</w:t>
      </w:r>
      <w:r>
        <w:rPr>
          <w:rFonts w:ascii="Arial" w:cs="Arial" w:eastAsia="Arial" w:hAnsi="Arial"/>
          <w:sz w:val="17"/>
          <w:szCs w:val="17"/>
          <w:color w:val="auto"/>
        </w:rPr>
        <w:t>,” and from and after the date and time of filing of any such Rule 462(b) Registration Statement the term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shall include the Rule 462(b) Registration Statement. The preliminary prospectus supplement dated February 10, 2020 describing the Offered Shares</w:t>
      </w:r>
    </w:p>
    <w:p>
      <w:pPr>
        <w:sectPr>
          <w:pgSz w:w="11900" w:h="16838" w:orient="portrait"/>
          <w:cols w:equalWidth="0" w:num="1">
            <w:col w:w="11020"/>
          </w:cols>
          <w:pgMar w:left="440" w:top="121" w:right="439" w:bottom="1440" w:gutter="0" w:footer="0" w:header="0"/>
        </w:sectPr>
      </w:pPr>
    </w:p>
    <w:bookmarkStart w:id="5" w:name="page6"/>
    <w:bookmarkEnd w:id="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offering thereof (the “</w:t>
      </w:r>
      <w:r>
        <w:rPr>
          <w:rFonts w:ascii="Arial" w:cs="Arial" w:eastAsia="Arial" w:hAnsi="Arial"/>
          <w:sz w:val="16"/>
          <w:szCs w:val="16"/>
          <w:b w:val="1"/>
          <w:bCs w:val="1"/>
          <w:color w:val="auto"/>
        </w:rPr>
        <w:t>Preliminary Prospectus Supplement</w:t>
      </w:r>
      <w:r>
        <w:rPr>
          <w:rFonts w:ascii="Arial" w:cs="Arial" w:eastAsia="Arial" w:hAnsi="Arial"/>
          <w:sz w:val="16"/>
          <w:szCs w:val="16"/>
          <w:color w:val="auto"/>
        </w:rPr>
        <w:t>”), together with the Base Prospectus, is called the “</w:t>
      </w:r>
      <w:r>
        <w:rPr>
          <w:rFonts w:ascii="Arial" w:cs="Arial" w:eastAsia="Arial" w:hAnsi="Arial"/>
          <w:sz w:val="16"/>
          <w:szCs w:val="16"/>
          <w:b w:val="1"/>
          <w:bCs w:val="1"/>
          <w:color w:val="auto"/>
        </w:rPr>
        <w:t>Preliminary Prospectus</w:t>
      </w:r>
      <w:r>
        <w:rPr>
          <w:rFonts w:ascii="Arial" w:cs="Arial" w:eastAsia="Arial" w:hAnsi="Arial"/>
          <w:sz w:val="16"/>
          <w:szCs w:val="16"/>
          <w:color w:val="auto"/>
        </w:rPr>
        <w:t>,” and the Preliminary Prospectus and any other prospectus supplement to the Base Prospectus in preliminary form that describes the Offered Shares and the offering thereof and is used prior to the filing of the Prospectus (as defined below), together with the Base Prospectus, is called a “</w:t>
      </w:r>
      <w:r>
        <w:rPr>
          <w:rFonts w:ascii="Arial" w:cs="Arial" w:eastAsia="Arial" w:hAnsi="Arial"/>
          <w:sz w:val="16"/>
          <w:szCs w:val="16"/>
          <w:b w:val="1"/>
          <w:bCs w:val="1"/>
          <w:color w:val="auto"/>
        </w:rPr>
        <w:t>preliminary</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As used herein,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mean the final prospectus supplement to the Base Prospectus that describes the Offered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and the offering thereof (the “</w:t>
      </w:r>
      <w:r>
        <w:rPr>
          <w:rFonts w:ascii="Arial" w:cs="Arial" w:eastAsia="Arial" w:hAnsi="Arial"/>
          <w:sz w:val="16"/>
          <w:szCs w:val="16"/>
          <w:b w:val="1"/>
          <w:bCs w:val="1"/>
          <w:color w:val="auto"/>
        </w:rPr>
        <w:t>Final Prospectus Supplement</w:t>
      </w:r>
      <w:r>
        <w:rPr>
          <w:rFonts w:ascii="Arial" w:cs="Arial" w:eastAsia="Arial" w:hAnsi="Arial"/>
          <w:sz w:val="16"/>
          <w:szCs w:val="16"/>
          <w:color w:val="auto"/>
        </w:rPr>
        <w:t>”), together with the Base Prospectus, in the form first used by the Underwriters to confirm sales of the Offered Shares or in the form first made available to the Underwriters by the Company to meet requests of purchasers pursuant to Rule 173 under the Securities Act. References herein to the Preliminary Prospectus, any preliminary prospectus and the Prospectus shall refer to both the prospectus supplement and the Base Prospectus components of such prospectus. As used herein, “</w:t>
      </w:r>
      <w:r>
        <w:rPr>
          <w:rFonts w:ascii="Arial" w:cs="Arial" w:eastAsia="Arial" w:hAnsi="Arial"/>
          <w:sz w:val="16"/>
          <w:szCs w:val="16"/>
          <w:b w:val="1"/>
          <w:bCs w:val="1"/>
          <w:color w:val="auto"/>
        </w:rPr>
        <w:t>Applicable Time</w:t>
      </w:r>
      <w:r>
        <w:rPr>
          <w:rFonts w:ascii="Arial" w:cs="Arial" w:eastAsia="Arial" w:hAnsi="Arial"/>
          <w:sz w:val="16"/>
          <w:szCs w:val="16"/>
          <w:color w:val="auto"/>
        </w:rPr>
        <w:t>” is 5:30 p.m. (New York City time) on February 11, 2020. As used herein,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and “</w:t>
      </w:r>
      <w:r>
        <w:rPr>
          <w:rFonts w:ascii="Arial" w:cs="Arial" w:eastAsia="Arial" w:hAnsi="Arial"/>
          <w:sz w:val="16"/>
          <w:szCs w:val="16"/>
          <w:b w:val="1"/>
          <w:bCs w:val="1"/>
          <w:color w:val="auto"/>
        </w:rPr>
        <w:t>Time of Sale</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means the Preliminary Prospectus, as amended or supplemented immediately prior to the Applicable Time, together with the free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prospectuses, if any, identified in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As used herein, </w:t>
      </w:r>
      <w:r>
        <w:rPr>
          <w:rFonts w:ascii="Arial" w:cs="Arial" w:eastAsia="Arial" w:hAnsi="Arial"/>
          <w:sz w:val="16"/>
          <w:szCs w:val="16"/>
          <w:b w:val="1"/>
          <w:bCs w:val="1"/>
          <w:color w:val="auto"/>
        </w:rPr>
        <w:t>“Road Show”</w:t>
      </w:r>
      <w:r>
        <w:rPr>
          <w:rFonts w:ascii="Arial" w:cs="Arial" w:eastAsia="Arial" w:hAnsi="Arial"/>
          <w:sz w:val="16"/>
          <w:szCs w:val="16"/>
          <w:color w:val="auto"/>
        </w:rPr>
        <w:t xml:space="preserve"> means a “road show” (as defined in Rule 433 under the Securities Act) relating to the offering of the Offered Shares contemplated hereby that is a “written communication” (as defined in Rule 405 under the Securities Act). As used herein, “</w:t>
      </w:r>
      <w:r>
        <w:rPr>
          <w:rFonts w:ascii="Arial" w:cs="Arial" w:eastAsia="Arial" w:hAnsi="Arial"/>
          <w:sz w:val="16"/>
          <w:szCs w:val="16"/>
          <w:b w:val="1"/>
          <w:bCs w:val="1"/>
          <w:color w:val="auto"/>
        </w:rPr>
        <w:t>Section 5(d) Written Communication</w:t>
      </w:r>
      <w:r>
        <w:rPr>
          <w:rFonts w:ascii="Arial" w:cs="Arial" w:eastAsia="Arial" w:hAnsi="Arial"/>
          <w:sz w:val="16"/>
          <w:szCs w:val="16"/>
          <w:color w:val="auto"/>
        </w:rPr>
        <w:t>” means each written communication (within the meaning of Rule 405 under the Securities Act) that is made in reliance on Section 5(d) of the Securities Act by the Company or any person authorized to act on behalf of the Company to one or more potential investors that are qualified institutional buyers (“</w:t>
      </w:r>
      <w:r>
        <w:rPr>
          <w:rFonts w:ascii="Arial" w:cs="Arial" w:eastAsia="Arial" w:hAnsi="Arial"/>
          <w:sz w:val="16"/>
          <w:szCs w:val="16"/>
          <w:b w:val="1"/>
          <w:bCs w:val="1"/>
          <w:color w:val="auto"/>
        </w:rPr>
        <w:t>QIBs</w:t>
      </w:r>
      <w:r>
        <w:rPr>
          <w:rFonts w:ascii="Arial" w:cs="Arial" w:eastAsia="Arial" w:hAnsi="Arial"/>
          <w:sz w:val="16"/>
          <w:szCs w:val="16"/>
          <w:color w:val="auto"/>
        </w:rPr>
        <w:t>”) and/or institutions that are accredited investors (“</w:t>
      </w:r>
      <w:r>
        <w:rPr>
          <w:rFonts w:ascii="Arial" w:cs="Arial" w:eastAsia="Arial" w:hAnsi="Arial"/>
          <w:sz w:val="16"/>
          <w:szCs w:val="16"/>
          <w:b w:val="1"/>
          <w:bCs w:val="1"/>
          <w:color w:val="auto"/>
        </w:rPr>
        <w:t>IAIs</w:t>
      </w:r>
      <w:r>
        <w:rPr>
          <w:rFonts w:ascii="Arial" w:cs="Arial" w:eastAsia="Arial" w:hAnsi="Arial"/>
          <w:sz w:val="16"/>
          <w:szCs w:val="16"/>
          <w:color w:val="auto"/>
        </w:rPr>
        <w:t>”), as such terms are respectively defined in Rule 144A and Rule 501(a) under the Securities Act, to determine whether such investors might have an interest in the offering of the Offered Shares; “</w:t>
      </w:r>
      <w:r>
        <w:rPr>
          <w:rFonts w:ascii="Arial" w:cs="Arial" w:eastAsia="Arial" w:hAnsi="Arial"/>
          <w:sz w:val="16"/>
          <w:szCs w:val="16"/>
          <w:b w:val="1"/>
          <w:bCs w:val="1"/>
          <w:color w:val="auto"/>
        </w:rPr>
        <w:t>Section 5(d) Oral Communication</w:t>
      </w:r>
      <w:r>
        <w:rPr>
          <w:rFonts w:ascii="Arial" w:cs="Arial" w:eastAsia="Arial" w:hAnsi="Arial"/>
          <w:sz w:val="16"/>
          <w:szCs w:val="16"/>
          <w:color w:val="auto"/>
        </w:rPr>
        <w:t>” means each oral communication, if any, made in reliance on Section 5(d) of the Securities Act by the Company or any person authorized to act on behalf of the Company made to one or more QIBs and/or one or more IAIs to determine whether such investors might have an interest in the offering of the Offered Shares; “</w:t>
      </w:r>
      <w:r>
        <w:rPr>
          <w:rFonts w:ascii="Arial" w:cs="Arial" w:eastAsia="Arial" w:hAnsi="Arial"/>
          <w:sz w:val="16"/>
          <w:szCs w:val="16"/>
          <w:b w:val="1"/>
          <w:bCs w:val="1"/>
          <w:color w:val="auto"/>
        </w:rPr>
        <w:t>Marketing Materials</w:t>
      </w:r>
      <w:r>
        <w:rPr>
          <w:rFonts w:ascii="Arial" w:cs="Arial" w:eastAsia="Arial" w:hAnsi="Arial"/>
          <w:sz w:val="16"/>
          <w:szCs w:val="16"/>
          <w:color w:val="auto"/>
        </w:rPr>
        <w:t>” means any materials or information provided to investors by, or with the approval of, the Company in connection with the marketing of the offering of the Offered Shares, including any roadshow or investor presentations made to investors by the Company (whether in person or electronically); and “</w:t>
      </w:r>
      <w:r>
        <w:rPr>
          <w:rFonts w:ascii="Arial" w:cs="Arial" w:eastAsia="Arial" w:hAnsi="Arial"/>
          <w:sz w:val="16"/>
          <w:szCs w:val="16"/>
          <w:b w:val="1"/>
          <w:bCs w:val="1"/>
          <w:color w:val="auto"/>
        </w:rPr>
        <w:t>Permitted Section 5(d)</w:t>
      </w:r>
      <w:r>
        <w:rPr>
          <w:rFonts w:ascii="Arial" w:cs="Arial" w:eastAsia="Arial" w:hAnsi="Arial"/>
          <w:sz w:val="16"/>
          <w:szCs w:val="16"/>
          <w:color w:val="auto"/>
        </w:rPr>
        <w:t xml:space="preserve"> </w:t>
      </w:r>
      <w:r>
        <w:rPr>
          <w:rFonts w:ascii="Arial" w:cs="Arial" w:eastAsia="Arial" w:hAnsi="Arial"/>
          <w:sz w:val="16"/>
          <w:szCs w:val="16"/>
          <w:b w:val="1"/>
          <w:bCs w:val="1"/>
          <w:color w:val="auto"/>
        </w:rPr>
        <w:t>Communication</w:t>
      </w:r>
      <w:r>
        <w:rPr>
          <w:rFonts w:ascii="Arial" w:cs="Arial" w:eastAsia="Arial" w:hAnsi="Arial"/>
          <w:sz w:val="16"/>
          <w:szCs w:val="16"/>
          <w:color w:val="auto"/>
        </w:rPr>
        <w:t>” means the Section 5(d) Written Communication(s) and Marketing Materials listed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C</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w:t>
      </w:r>
    </w:p>
    <w:p>
      <w:pPr>
        <w:spacing w:after="0" w:line="167"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All references in this Agreement to the Registration Statement, the Preliminary Prospectus,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 of” the Registration Statement, the Rule 462(b) Registration Statement, the Preliminary Prospectus,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 Rule 462(b) Registration Statement, the Preliminary Prospectus, any preliminary prospectus, the Base Prospectus, the Time of Sale Prospectus or the Prospectus, as the case may be. All references in this Agreement to amendments or supplements to the Registration Statement, the Preliminary Prospectus,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w:t>
      </w:r>
      <w:r>
        <w:rPr>
          <w:rFonts w:ascii="Arial" w:cs="Arial" w:eastAsia="Arial" w:hAnsi="Arial"/>
          <w:sz w:val="16"/>
          <w:szCs w:val="16"/>
          <w:b w:val="1"/>
          <w:bCs w:val="1"/>
          <w:color w:val="auto"/>
        </w:rPr>
        <w:t>Exchange Act</w:t>
      </w:r>
      <w:r>
        <w:rPr>
          <w:rFonts w:ascii="Arial" w:cs="Arial" w:eastAsia="Arial" w:hAnsi="Arial"/>
          <w:sz w:val="16"/>
          <w:szCs w:val="16"/>
          <w:color w:val="auto"/>
        </w:rPr>
        <w:t>”) that is or is deemed to be incorporated by reference in the Registration Statement, the Preliminary Prospectus, any preliminary prospectus, the Base Prospectus, or the Prospectus, as the case may be. All references in this Agreement to (i) the Registration Statement, the Preliminary Prospectus,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 and (ii) the Prospectus shall be deemed to include any “electronic Prospectus” provided for use in connection with the offering of the Offered Shares as contemplated by Section 3(n) of this Agreement.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6" w:name="page7"/>
    <w:bookmarkEnd w:id="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hereby confirms its agreements with the Underwriters as follows:</w:t>
      </w:r>
    </w:p>
    <w:p>
      <w:pPr>
        <w:spacing w:after="0" w:line="22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Section 1. Representations and Warranties.</w:t>
      </w:r>
    </w:p>
    <w:p>
      <w:pPr>
        <w:spacing w:after="0" w:line="12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The Company hereby represents, warrants and covenants to each Underwriter, as of the date of this Agreement, as of the First Closing Date (as hereinafter defined) and as of each Option Closing Date (as hereinafter defined), if any, as follows:</w:t>
      </w:r>
    </w:p>
    <w:p>
      <w:pPr>
        <w:spacing w:after="0" w:line="58" w:lineRule="exact"/>
        <w:rPr>
          <w:sz w:val="20"/>
          <w:szCs w:val="20"/>
          <w:color w:val="auto"/>
        </w:rPr>
      </w:pPr>
    </w:p>
    <w:p>
      <w:pPr>
        <w:ind w:firstLine="444"/>
        <w:spacing w:after="0" w:line="270" w:lineRule="auto"/>
        <w:tabs>
          <w:tab w:leader="none" w:pos="69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Compliance with Registration Requirements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Registration Statement has become effective under the Securities Act. The Company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best knowledge of the Company, are contemplated or threatened by the Commission. At the time the Company’s Annual Report on Form 10-K for the year ended December 31, 2018 (the “</w:t>
      </w:r>
      <w:r>
        <w:rPr>
          <w:rFonts w:ascii="Arial" w:cs="Arial" w:eastAsia="Arial" w:hAnsi="Arial"/>
          <w:sz w:val="17"/>
          <w:szCs w:val="17"/>
          <w:b w:val="1"/>
          <w:bCs w:val="1"/>
          <w:color w:val="auto"/>
        </w:rPr>
        <w:t>Annual Report</w:t>
      </w:r>
      <w:r>
        <w:rPr>
          <w:rFonts w:ascii="Arial" w:cs="Arial" w:eastAsia="Arial" w:hAnsi="Arial"/>
          <w:sz w:val="17"/>
          <w:szCs w:val="17"/>
          <w:color w:val="auto"/>
        </w:rPr>
        <w:t>”) was filed with the Commission, or, if later, at the time the Registration Statement was originally filed with the Commission, the Company met the then-applicable requirements for use of Form S-3 under the Securities Act. The Company meets the requirements for use of Form S-3 under the Securities Act specified in FINRA Conduct Rule 5110(B)(7)(C)(i).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w:t>
      </w:r>
    </w:p>
    <w:p>
      <w:pPr>
        <w:spacing w:after="0" w:line="69" w:lineRule="exact"/>
        <w:rPr>
          <w:rFonts w:ascii="Arial" w:cs="Arial" w:eastAsia="Arial" w:hAnsi="Arial"/>
          <w:sz w:val="17"/>
          <w:szCs w:val="17"/>
          <w:b w:val="1"/>
          <w:bCs w:val="1"/>
          <w:color w:val="auto"/>
        </w:rPr>
      </w:pPr>
    </w:p>
    <w:p>
      <w:pPr>
        <w:ind w:right="80" w:firstLine="444"/>
        <w:spacing w:after="0" w:line="268" w:lineRule="auto"/>
        <w:tabs>
          <w:tab w:leader="none" w:pos="706"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Disclosure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preliminary prospectus and the Prospectus when filed complied in all material respects with the Securities Act and, if filed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electronic transmission pursuant to EDGAR, was identical (except as may be permitted by Regulation S-T under the Securities Act) to the copy thereof delivered to the Underwriters for use in connection with the offer and sale of the Offered Shares.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(including any preliminary prospectus wrapper) did not, and at the First Closing Date (as defined in Section 2)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(including any Prospectus wrapper),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7" w:name="page8"/>
    <w:bookmarkEnd w:id="7"/>
    <w:p>
      <w:pPr>
        <w:ind w:left="-4" w:right="40" w:firstLine="444"/>
        <w:spacing w:after="0" w:line="268" w:lineRule="auto"/>
        <w:tabs>
          <w:tab w:leader="none" w:pos="681" w:val="left"/>
        </w:tabs>
        <w:numPr>
          <w:ilvl w:val="1"/>
          <w:numId w:val="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Free Writing Prospectuses; Road Show</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of the determination date referenced in Rule 164(h) under the Securities Act, the Company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not, is 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retention and legending, as applicable, and each such free writing prospectus, as of its issue date and at all subsequent times through the completion of the public offer and sale of the Offered Shares did not, does not and will not include any information that conflicted, conflicts or will conflict with the information contained in the Registration Statement, the Prospectus or any preliminary prospectus unless such information has been superseded or modified as of such time. Except for the free writing prospectuses, if any, identified in </w:t>
      </w:r>
      <w:r>
        <w:rPr>
          <w:rFonts w:ascii="Arial" w:cs="Arial" w:eastAsia="Arial" w:hAnsi="Arial"/>
          <w:sz w:val="17"/>
          <w:szCs w:val="17"/>
          <w:u w:val="single" w:color="auto"/>
          <w:color w:val="auto"/>
        </w:rPr>
        <w:t>Schedule B</w:t>
      </w:r>
      <w:r>
        <w:rPr>
          <w:rFonts w:ascii="Arial" w:cs="Arial" w:eastAsia="Arial" w:hAnsi="Arial"/>
          <w:sz w:val="17"/>
          <w:szCs w:val="17"/>
          <w:color w:val="auto"/>
        </w:rPr>
        <w:t>, and electronic road shows, if any, furnished to you before first use, the Company has not prepared, used or referred to, and will not, without your prior written consent,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pacing w:after="0" w:line="77" w:lineRule="exact"/>
        <w:rPr>
          <w:rFonts w:ascii="Arial" w:cs="Arial" w:eastAsia="Arial" w:hAnsi="Arial"/>
          <w:sz w:val="17"/>
          <w:szCs w:val="17"/>
          <w:b w:val="1"/>
          <w:bCs w:val="1"/>
          <w:color w:val="auto"/>
        </w:rPr>
      </w:pPr>
    </w:p>
    <w:p>
      <w:pPr>
        <w:ind w:left="-4" w:right="120" w:firstLine="444"/>
        <w:spacing w:after="0" w:line="258" w:lineRule="auto"/>
        <w:tabs>
          <w:tab w:leader="none" w:pos="702"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Distribution of Offering Material By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later of (i) the expiration or termination of the option granted to the several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Underwriters in Section 2 and (ii) the completion of the Underwriters’ distribution of the Offered Shares</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has not distributed and will not distribute any offering material in connection with the offering and sale of the Offered Shares other than the Registration Statement, the Time of Sale Prospectus, the Prospectus or any free writing prospectus reviewed and consented to by the Representatives, the free writing prospectuses, if any, identified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and any Permitted Section 5(d) Communications.</w:t>
      </w:r>
    </w:p>
    <w:p>
      <w:pPr>
        <w:spacing w:after="0" w:line="75" w:lineRule="exact"/>
        <w:rPr>
          <w:rFonts w:ascii="Arial" w:cs="Arial" w:eastAsia="Arial" w:hAnsi="Arial"/>
          <w:sz w:val="18"/>
          <w:szCs w:val="18"/>
          <w:b w:val="1"/>
          <w:bCs w:val="1"/>
          <w:color w:val="auto"/>
        </w:rPr>
      </w:pPr>
    </w:p>
    <w:p>
      <w:pPr>
        <w:ind w:left="676" w:hanging="236"/>
        <w:spacing w:after="0"/>
        <w:tabs>
          <w:tab w:leader="none" w:pos="676"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Underwriting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b w:val="1"/>
          <w:bCs w:val="1"/>
          <w:color w:val="auto"/>
        </w:rPr>
      </w:pPr>
    </w:p>
    <w:p>
      <w:pPr>
        <w:ind w:left="-4" w:right="200" w:firstLine="444"/>
        <w:spacing w:after="0" w:line="261" w:lineRule="auto"/>
        <w:tabs>
          <w:tab w:leader="none" w:pos="662"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Authorization of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Shares have been duly authorized for issuance and sale pursuant to this Agreement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issued and delivered by the Company against payment therefor pursuant to this Agreement, will be validly issued, fully paid and nonassessable, and the issuance and sale of the Offered Shares is not subject to any preemptive rights, rights of first refusal or other similar rights to subscribe for or purchase the Offered Shares.</w:t>
      </w:r>
    </w:p>
    <w:p>
      <w:pPr>
        <w:spacing w:after="0" w:line="71" w:lineRule="exact"/>
        <w:rPr>
          <w:rFonts w:ascii="Arial" w:cs="Arial" w:eastAsia="Arial" w:hAnsi="Arial"/>
          <w:sz w:val="18"/>
          <w:szCs w:val="18"/>
          <w:b w:val="1"/>
          <w:bCs w:val="1"/>
          <w:color w:val="auto"/>
        </w:rPr>
      </w:pPr>
    </w:p>
    <w:p>
      <w:pPr>
        <w:ind w:left="-4" w:firstLine="444"/>
        <w:spacing w:after="0" w:line="266" w:lineRule="auto"/>
        <w:tabs>
          <w:tab w:leader="none" w:pos="692"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Applicable Registration or Other Similar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persons with registration or other similar rights to have any equity 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registered for sale under the Registration Statement or included in the offering contemplated by this Agreement, except for such rights as have been duly waived.</w:t>
      </w:r>
    </w:p>
    <w:p>
      <w:pPr>
        <w:spacing w:after="0" w:line="68" w:lineRule="exact"/>
        <w:rPr>
          <w:rFonts w:ascii="Arial" w:cs="Arial" w:eastAsia="Arial" w:hAnsi="Arial"/>
          <w:sz w:val="18"/>
          <w:szCs w:val="18"/>
          <w:b w:val="1"/>
          <w:bCs w:val="1"/>
          <w:color w:val="auto"/>
        </w:rPr>
      </w:pPr>
    </w:p>
    <w:p>
      <w:pPr>
        <w:ind w:left="-4" w:right="180" w:firstLine="444"/>
        <w:spacing w:after="0" w:line="293" w:lineRule="auto"/>
        <w:tabs>
          <w:tab w:leader="none" w:pos="702" w:val="left"/>
        </w:tabs>
        <w:numPr>
          <w:ilvl w:val="1"/>
          <w:numId w:val="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Material Adverse Change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otherwise disclosed in the Registration Statement, the Time of Sale Prospectus and the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 to the respective dates as of which information is given in the Registration Statement, the Time of Sale Prospectus and the Prospectus:</w:t>
      </w:r>
    </w:p>
    <w:p>
      <w:pPr>
        <w:spacing w:after="0" w:line="1" w:lineRule="exact"/>
        <w:rPr>
          <w:rFonts w:ascii="Arial" w:cs="Arial" w:eastAsia="Arial" w:hAnsi="Arial"/>
          <w:sz w:val="16"/>
          <w:szCs w:val="16"/>
          <w:b w:val="1"/>
          <w:bCs w:val="1"/>
          <w:color w:val="auto"/>
        </w:rPr>
      </w:pPr>
    </w:p>
    <w:p>
      <w:pPr>
        <w:ind w:left="-4" w:right="460" w:firstLine="4"/>
        <w:spacing w:after="0" w:line="261" w:lineRule="auto"/>
        <w:tabs>
          <w:tab w:leader="none" w:pos="21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has been no material adverse change, or any development that would reasonably be expected to result in a material adverse change, in the condition, financial or otherwise, or in the earnings, business,</w:t>
      </w:r>
    </w:p>
    <w:p>
      <w:pPr>
        <w:spacing w:after="0" w:line="116"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76"/>
          </w:cols>
          <w:pgMar w:left="444" w:top="270" w:right="479" w:bottom="1440" w:gutter="0" w:footer="0" w:header="0"/>
        </w:sectPr>
      </w:pPr>
    </w:p>
    <w:bookmarkStart w:id="8" w:name="page9"/>
    <w:bookmarkEnd w:id="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properties, operations, assets, liabilities or prospects, whether or not arising from transactions in the ordinary course of business, of the Company and its subsidiaries, considered as one entity (any such change being referred to herein as a “</w:t>
      </w:r>
      <w:r>
        <w:rPr>
          <w:rFonts w:ascii="Arial" w:cs="Arial" w:eastAsia="Arial" w:hAnsi="Arial"/>
          <w:sz w:val="17"/>
          <w:szCs w:val="17"/>
          <w:b w:val="1"/>
          <w:bCs w:val="1"/>
          <w:color w:val="auto"/>
        </w:rPr>
        <w:t>Material Adverse Change</w:t>
      </w:r>
      <w:r>
        <w:rPr>
          <w:rFonts w:ascii="Arial" w:cs="Arial" w:eastAsia="Arial" w:hAnsi="Arial"/>
          <w:sz w:val="17"/>
          <w:szCs w:val="17"/>
          <w:color w:val="auto"/>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66" w:lineRule="exact"/>
        <w:rPr>
          <w:sz w:val="20"/>
          <w:szCs w:val="20"/>
          <w:color w:val="auto"/>
        </w:rPr>
      </w:pPr>
    </w:p>
    <w:p>
      <w:pPr>
        <w:ind w:right="200" w:firstLine="444"/>
        <w:spacing w:after="0" w:line="274" w:lineRule="auto"/>
        <w:tabs>
          <w:tab w:leader="none" w:pos="65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Independent Accountants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KPMG LLP, which has expressed its opinion with respect to the financial statements (which term as used in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includes the related notes thereto) filed with the Commission as a part of the Registration Statement, the Time of Sale Prospectus and the Prospectus, is (i) an independent registered public accounting firm as required by the Securities Act, the Exchange Act, and the rules of the Public Company Accounting Oversight Board (“</w:t>
      </w:r>
      <w:r>
        <w:rPr>
          <w:rFonts w:ascii="Arial" w:cs="Arial" w:eastAsia="Arial" w:hAnsi="Arial"/>
          <w:sz w:val="17"/>
          <w:szCs w:val="17"/>
          <w:b w:val="1"/>
          <w:bCs w:val="1"/>
          <w:color w:val="auto"/>
        </w:rPr>
        <w:t>PCAOB</w:t>
      </w:r>
      <w:r>
        <w:rPr>
          <w:rFonts w:ascii="Arial" w:cs="Arial" w:eastAsia="Arial" w:hAnsi="Arial"/>
          <w:sz w:val="17"/>
          <w:szCs w:val="17"/>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65" w:lineRule="exact"/>
        <w:rPr>
          <w:rFonts w:ascii="Arial" w:cs="Arial" w:eastAsia="Arial" w:hAnsi="Arial"/>
          <w:sz w:val="17"/>
          <w:szCs w:val="17"/>
          <w:b w:val="1"/>
          <w:bCs w:val="1"/>
          <w:color w:val="auto"/>
        </w:rPr>
      </w:pPr>
    </w:p>
    <w:p>
      <w:pPr>
        <w:ind w:right="20" w:firstLine="444"/>
        <w:spacing w:after="0" w:line="286" w:lineRule="auto"/>
        <w:tabs>
          <w:tab w:leader="none" w:pos="665"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Financial Statements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financial statements filed with the Commission as a part of the Registration Statement, the Time of Sale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Prospectus present fairly in all material respects the consolidated financial position of the Company and its subsidiaries as of the dates indicated and the results of their operations, changes in stockholders’ equity and cash flows for the periods specified. Such financial statements have been prepared in conformity with U.S. generally accepted accounting principles applied on a consistent basis throughout the periods involved, except as may be expressly stated in the related notes thereto and except in the case of unaudited financial statements, which are subject to normal and recurring year-end adjustments and do not contain certain footnotes as permitted by the applicable rules of the Commission.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the Time of Sale Prospectus or the Prospectus. The financial data set forth in each of the Registration Statement, the Time of Sale Prospectus and the Prospectus under the caption “Capitalization” fairly present in all material respects the information set forth therein on a basis consistent with that of the audited financial statements contained in the Registration Statement, the Time of Sale Prospectus and the Prospectus.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Time of Sale Prospectus and the Prospectus.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9" w:name="page10"/>
    <w:bookmarkEnd w:id="9"/>
    <w:p>
      <w:pPr>
        <w:ind w:left="-20" w:right="40" w:firstLine="444"/>
        <w:spacing w:after="0" w:line="291" w:lineRule="auto"/>
        <w:tabs>
          <w:tab w:leader="none" w:pos="686"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Company’s Accounting System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each of its subsidiaries make and keep books and records that are accurate in all material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respects and maintain a system of internal accounting controls designed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the Time of Sale Prospectus and the Prospectus fairly presents the information called for in all material respects and is prepared in accordance with the Commission’s rules and guidelines applicable thereto.</w:t>
      </w:r>
    </w:p>
    <w:p>
      <w:pPr>
        <w:spacing w:after="0" w:line="52" w:lineRule="exact"/>
        <w:rPr>
          <w:rFonts w:ascii="Arial" w:cs="Arial" w:eastAsia="Arial" w:hAnsi="Arial"/>
          <w:sz w:val="16"/>
          <w:szCs w:val="16"/>
          <w:b w:val="1"/>
          <w:bCs w:val="1"/>
          <w:color w:val="auto"/>
        </w:rPr>
      </w:pPr>
    </w:p>
    <w:p>
      <w:pPr>
        <w:ind w:left="-20" w:right="100" w:firstLine="444"/>
        <w:spacing w:after="0" w:line="269" w:lineRule="auto"/>
        <w:tabs>
          <w:tab w:leader="none" w:pos="635"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Disclosure Controls and Procedures; Deficiencies in or Changes to Internal Control Over Financial Reporting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established and maintains disclosure controls and procedures (as defined in Rules 13a-15 and 15d-15 under the Exchange Act), which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(it being understood that neither subsection (k) nor this subsection (l) requires the Company or any of its subsidiaries to comply with Section 404 of the Sarbanes Oxley Act of 2002 as of an earlier date than it would otherwise be required to so comply under applicable law). Except as described in the Registration Statement, the Time of Sale Prospectus and the Prospectus,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71" w:lineRule="exact"/>
        <w:rPr>
          <w:rFonts w:ascii="Arial" w:cs="Arial" w:eastAsia="Arial" w:hAnsi="Arial"/>
          <w:sz w:val="17"/>
          <w:szCs w:val="17"/>
          <w:b w:val="1"/>
          <w:bCs w:val="1"/>
          <w:color w:val="auto"/>
        </w:rPr>
      </w:pPr>
    </w:p>
    <w:p>
      <w:pPr>
        <w:ind w:left="-20" w:right="160" w:firstLine="444"/>
        <w:spacing w:after="0" w:line="291" w:lineRule="auto"/>
        <w:tabs>
          <w:tab w:leader="none" w:pos="73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Incorporation and Good Standing of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 been duly incorporated and is validly existing as a corporation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good standing under the laws of the jurisdiction of its incorporation and has the corporate power and authority to own, lease and operate its properties and to conduct its business as described in the Registration Statement, the Time of Sale Prospectus and the Prospectus and to enter into and perform its obligations under this Agreement. The Company is duly qualified as a foreign corporation to transact business and is in good standing in the States of California and Illinois and each other jurisdiction in which such qualification is required, whether by reason of the ownership or leasing of property or the conduct of business, except where the failure to be so qualified or be in good standing would not reasonably be expected, individually or in the aggregate, to result in a material adverse effect on the condition (financial or otherwise), earnings, business, properties, operations, assets, liabilities or prospects, whether or not arising from transactions in the ordinary course of business, of the Company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w:t>
      </w:r>
    </w:p>
    <w:p>
      <w:pPr>
        <w:spacing w:after="0" w:line="52" w:lineRule="exact"/>
        <w:rPr>
          <w:rFonts w:ascii="Arial" w:cs="Arial" w:eastAsia="Arial" w:hAnsi="Arial"/>
          <w:sz w:val="16"/>
          <w:szCs w:val="16"/>
          <w:b w:val="1"/>
          <w:bCs w:val="1"/>
          <w:color w:val="auto"/>
        </w:rPr>
      </w:pPr>
    </w:p>
    <w:p>
      <w:pPr>
        <w:ind w:left="-20" w:firstLine="444"/>
        <w:spacing w:after="0" w:line="272" w:lineRule="auto"/>
        <w:tabs>
          <w:tab w:leader="none" w:pos="686"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Subsidiaries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of the Company’s “subsidiaries” (for purposes of this Agreement, as defined in Rule 405 under the Securities Act)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the Time of Sale Prospectus and 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All of the issued and outstanding capital stock or other equity or ownership interests of each of the Company’s subsidiaries have been duly authorized and validly issued, are fully paid and nonassessable and are owned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60" w:top="270" w:right="439" w:bottom="1440" w:gutter="0" w:footer="0" w:header="0"/>
        </w:sectPr>
      </w:pPr>
    </w:p>
    <w:bookmarkStart w:id="10" w:name="page11"/>
    <w:bookmarkEnd w:id="10"/>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Xeris Pharmaceuticals Australia Pty Ltd and Xeris Pharmaceuticals Ireland Limited and has no “significant subsidiaries” (as such term is defined in Rule 1-02 of Regulation S-X).</w:t>
      </w:r>
    </w:p>
    <w:p>
      <w:pPr>
        <w:spacing w:after="0" w:line="66" w:lineRule="exact"/>
        <w:rPr>
          <w:sz w:val="20"/>
          <w:szCs w:val="20"/>
          <w:color w:val="auto"/>
        </w:rPr>
      </w:pPr>
    </w:p>
    <w:p>
      <w:pPr>
        <w:ind w:right="80" w:firstLine="444"/>
        <w:spacing w:after="0" w:line="287" w:lineRule="auto"/>
        <w:tabs>
          <w:tab w:leader="none" w:pos="695"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Capitalization and Other Capital Stock Matters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authorized, issued and outstanding capital stock of the Company is as set forth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Registration Statement, the Time of Sale Prospectus and the Prospectus under the caption “Capitalization” (other than for subsequent issuances, if any, pursuant to employee benefit plans, or upon the exercise of outstanding options or warrants, in each case described in the Registration Statement, the Time of Sale Prospectus and the Prospectus). The Shares (including the Offered Shares) conform in all material respects to the description thereof contained in the Time of Sale Prospectus. All of the issued and outstanding Shares have been duly authorized and validly issued, are fully paid and nonassessable and have been issued in compliance with all applicable federal and state securities laws. None of the outstanding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the Time of Sale Prospectus and the Prospectus. The descriptions of the Company’s stock option, stock bonus and other stock plans or arrangements, and the options or other rights granted thereunder, set forth in the Registration Statement, the Time of Sale Prospectus and the Prospectus accurately and fairly presents in all material respects the information required to be shown with respect to such plans, arrangements, options and rights.</w:t>
      </w:r>
    </w:p>
    <w:p>
      <w:pPr>
        <w:spacing w:after="0" w:line="60" w:lineRule="exact"/>
        <w:rPr>
          <w:rFonts w:ascii="Arial" w:cs="Arial" w:eastAsia="Arial" w:hAnsi="Arial"/>
          <w:sz w:val="16"/>
          <w:szCs w:val="16"/>
          <w:b w:val="1"/>
          <w:bCs w:val="1"/>
          <w:color w:val="auto"/>
        </w:rPr>
      </w:pPr>
    </w:p>
    <w:p>
      <w:pPr>
        <w:ind w:right="140" w:firstLine="444"/>
        <w:spacing w:after="0" w:line="258" w:lineRule="auto"/>
        <w:tabs>
          <w:tab w:leader="none" w:pos="70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Exchange Listing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Shares are registered pursuant to Section 12(b) or 12(g) of the Exchange Act and are listed on The Nasdaq</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Select Market (the “</w:t>
      </w:r>
      <w:r>
        <w:rPr>
          <w:rFonts w:ascii="Arial" w:cs="Arial" w:eastAsia="Arial" w:hAnsi="Arial"/>
          <w:sz w:val="18"/>
          <w:szCs w:val="18"/>
          <w:b w:val="1"/>
          <w:bCs w:val="1"/>
          <w:color w:val="auto"/>
        </w:rPr>
        <w:t>Nasdaq</w:t>
      </w:r>
      <w:r>
        <w:rPr>
          <w:rFonts w:ascii="Arial" w:cs="Arial" w:eastAsia="Arial" w:hAnsi="Arial"/>
          <w:sz w:val="18"/>
          <w:szCs w:val="18"/>
          <w:color w:val="auto"/>
        </w:rPr>
        <w:t>”), and the Company has taken no action designed to, or likely to have the effect of, terminating the registration of the Shares under the Exchange Act or delisting the Shares from the Nasdaq, nor has the Company received any notification that the Commission or the Nasdaq is contemplating terminating such registration or listing. To the Company’s knowledge, it is in compliance with all applicable listing requirements of the Nasdaq.</w:t>
      </w:r>
    </w:p>
    <w:p>
      <w:pPr>
        <w:spacing w:after="0" w:line="75" w:lineRule="exact"/>
        <w:rPr>
          <w:rFonts w:ascii="Arial" w:cs="Arial" w:eastAsia="Arial" w:hAnsi="Arial"/>
          <w:sz w:val="18"/>
          <w:szCs w:val="18"/>
          <w:b w:val="1"/>
          <w:bCs w:val="1"/>
          <w:color w:val="auto"/>
        </w:rPr>
      </w:pPr>
    </w:p>
    <w:p>
      <w:pPr>
        <w:ind w:firstLine="444"/>
        <w:spacing w:after="0" w:line="269" w:lineRule="auto"/>
        <w:tabs>
          <w:tab w:leader="none" w:pos="706"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Non-Contravention of Existing Instruments; No Further Authorizations or Approvals Required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the Company nor any of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is in violation of its charter or by-laws, partnership agreement or operating agreement or similar organizational documents, as applicable, or is in default (or, with the giving of notice or lapse of time, would be in default) (“</w:t>
      </w:r>
      <w:r>
        <w:rPr>
          <w:rFonts w:ascii="Arial" w:cs="Arial" w:eastAsia="Arial" w:hAnsi="Arial"/>
          <w:sz w:val="17"/>
          <w:szCs w:val="17"/>
          <w:b w:val="1"/>
          <w:bCs w:val="1"/>
          <w:color w:val="auto"/>
        </w:rPr>
        <w:t>Default</w:t>
      </w:r>
      <w:r>
        <w:rPr>
          <w:rFonts w:ascii="Arial" w:cs="Arial" w:eastAsia="Arial" w:hAnsi="Arial"/>
          <w:sz w:val="17"/>
          <w:szCs w:val="17"/>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Arial" w:cs="Arial" w:eastAsia="Arial" w:hAnsi="Arial"/>
          <w:sz w:val="17"/>
          <w:szCs w:val="17"/>
          <w:b w:val="1"/>
          <w:bCs w:val="1"/>
          <w:color w:val="auto"/>
        </w:rPr>
        <w:t>Existing Instrument</w:t>
      </w:r>
      <w:r>
        <w:rPr>
          <w:rFonts w:ascii="Arial" w:cs="Arial" w:eastAsia="Arial" w:hAnsi="Arial"/>
          <w:sz w:val="17"/>
          <w:szCs w:val="17"/>
          <w:color w:val="auto"/>
        </w:rPr>
        <w:t>”), except for such Defaults as would not be reasonably expected, individually or in the aggregate, to have a Material Adverse Effect. The Company’s execution, delivery and performance of this Agreement, consummation of the transactions contemplated hereby and by the Registration Statement, the Time of Sale Prospectus and the Prospectus and the issuance and sale of the Offered Shares (including the use of proceeds from the sale of the Offered Shares as described in the Registration Statement, the Time of Sale Prospectus and the Prospectus under the caption “Use of Proceeds”) (i) have been duly authorized by all necessary corporate action and will not result in any violation of the provisions of the charter or by-laws, partnership agreement or operating agreement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1" w:name="page12"/>
    <w:bookmarkEnd w:id="11"/>
    <w:p>
      <w:pPr>
        <w:ind w:right="2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w:t>
      </w:r>
    </w:p>
    <w:p>
      <w:pPr>
        <w:ind w:firstLine="4"/>
        <w:spacing w:after="0" w:line="268" w:lineRule="auto"/>
        <w:tabs>
          <w:tab w:leader="none" w:pos="315" w:val="left"/>
        </w:tabs>
        <w:numPr>
          <w:ilvl w:val="0"/>
          <w:numId w:val="8"/>
        </w:numPr>
        <w:rPr>
          <w:rFonts w:ascii="Arial" w:cs="Arial" w:eastAsia="Arial" w:hAnsi="Arial"/>
          <w:sz w:val="17"/>
          <w:szCs w:val="17"/>
          <w:color w:val="auto"/>
        </w:rPr>
      </w:pPr>
      <w:r>
        <w:rPr>
          <w:rFonts w:ascii="Arial" w:cs="Arial" w:eastAsia="Arial" w:hAnsi="Arial"/>
          <w:sz w:val="17"/>
          <w:szCs w:val="17"/>
          <w:color w:val="auto"/>
        </w:rPr>
        <w:t>will not result in any violation of any law, administrative regulation or administrative or court decree applicable to the Company or any of its subsidiaries, except for such conflicts, breaches, Defaults, liens, charges, encumbrances or violations specified to subsections (ii) and (iii) above that would not reasonably be expected, individually or in the aggregate, to have a Material Adverse Effect.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the Time of Sale Prospectus and the Prospectus, except such as have been obtained or made by the Company and are in full force and effect under the Securities Act and such as may be required under applicable state securities or blue sky laws or FINRA. As used herein, a “</w:t>
      </w:r>
      <w:r>
        <w:rPr>
          <w:rFonts w:ascii="Arial" w:cs="Arial" w:eastAsia="Arial" w:hAnsi="Arial"/>
          <w:sz w:val="17"/>
          <w:szCs w:val="17"/>
          <w:b w:val="1"/>
          <w:bCs w:val="1"/>
          <w:color w:val="auto"/>
        </w:rPr>
        <w:t>Debt Repayment Triggering Event</w:t>
      </w:r>
      <w:r>
        <w:rPr>
          <w:rFonts w:ascii="Arial" w:cs="Arial" w:eastAsia="Arial" w:hAnsi="Arial"/>
          <w:sz w:val="17"/>
          <w:szCs w:val="17"/>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71" w:lineRule="exact"/>
        <w:rPr>
          <w:rFonts w:ascii="Arial" w:cs="Arial" w:eastAsia="Arial" w:hAnsi="Arial"/>
          <w:sz w:val="17"/>
          <w:szCs w:val="17"/>
          <w:color w:val="auto"/>
        </w:rPr>
      </w:pPr>
    </w:p>
    <w:p>
      <w:pPr>
        <w:ind w:right="320" w:firstLine="444"/>
        <w:spacing w:after="0" w:line="342" w:lineRule="auto"/>
        <w:tabs>
          <w:tab w:leader="none" w:pos="685" w:val="left"/>
        </w:tabs>
        <w:numPr>
          <w:ilvl w:val="1"/>
          <w:numId w:val="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Compliance with Laws. </w:t>
      </w:r>
      <w:r>
        <w:rPr>
          <w:rFonts w:ascii="Arial" w:cs="Arial" w:eastAsia="Arial" w:hAnsi="Arial"/>
          <w:sz w:val="16"/>
          <w:szCs w:val="16"/>
          <w:color w:val="auto"/>
        </w:rPr>
        <w:t>The Company and its subsidiaries have been and are in compliance with all applicable laws, rules and regulations,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where failure to be so in compliance would not reasonably be expected, individually or in the aggregate, to have a Material Adverse Effect.</w:t>
      </w:r>
    </w:p>
    <w:p>
      <w:pPr>
        <w:spacing w:after="0" w:line="11" w:lineRule="exact"/>
        <w:rPr>
          <w:rFonts w:ascii="Arial" w:cs="Arial" w:eastAsia="Arial" w:hAnsi="Arial"/>
          <w:sz w:val="16"/>
          <w:szCs w:val="16"/>
          <w:b w:val="1"/>
          <w:bCs w:val="1"/>
          <w:color w:val="auto"/>
        </w:rPr>
      </w:pPr>
    </w:p>
    <w:p>
      <w:pPr>
        <w:ind w:right="80" w:firstLine="444"/>
        <w:spacing w:after="0" w:line="291" w:lineRule="auto"/>
        <w:tabs>
          <w:tab w:leader="none" w:pos="676" w:val="left"/>
        </w:tabs>
        <w:numPr>
          <w:ilvl w:val="1"/>
          <w:numId w:val="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Material Actions or Proceedings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is no action, suit, proceeding, inquiry or investigation brought by or before any governmental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entity now pending or, to the knowledge of the Company, threatened, against or affecting the Company or any of its subsidiaries, which if determined adversely to the Company or any such subsidiary, would reasonably be expected, individually or in the aggregate, to have a Material Adverse Effect or materially and adversely affect the consummation of the transactions contemplated by this Agreement or the performance by the Company of its obligations hereunder; and the aggregate of all pending legal or governmental proceedings to which the Company or any of its subsidiaries is a party or of which any of their properties or assets is the subject, including ordinary routine litigation incidental to the business, if determined adversely to the Company or any such subsidiary, would not reasonably be expected to have a Material Adverse Effect. No material labor dispute with the employees of the Company or any of its subsidiaries exists or, to the knowledge of the Company, is threatened or imminent.</w:t>
      </w:r>
    </w:p>
    <w:p>
      <w:pPr>
        <w:spacing w:after="0" w:line="52" w:lineRule="exact"/>
        <w:rPr>
          <w:rFonts w:ascii="Arial" w:cs="Arial" w:eastAsia="Arial" w:hAnsi="Arial"/>
          <w:sz w:val="16"/>
          <w:szCs w:val="16"/>
          <w:b w:val="1"/>
          <w:bCs w:val="1"/>
          <w:color w:val="auto"/>
        </w:rPr>
      </w:pPr>
    </w:p>
    <w:p>
      <w:pPr>
        <w:ind w:firstLine="444"/>
        <w:spacing w:after="0" w:line="270" w:lineRule="auto"/>
        <w:tabs>
          <w:tab w:leader="none" w:pos="665"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Intellectual Property Rights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its subsidiaries own, or have obtained valid and enforceable licenses for, the inventions, patent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applications, patents, trademarks, trade names, service names, copyrights, trade secrets and other intellectual property described in the Registration Statement, the Time of Sale Prospectus and the Prospectus as being owned or licensed by them or which are necessary for the conduct of their respective businesses as currently conducted or as currently proposed to be conducted as described in the Registration Statement, the Time of Sale Prospectus and the Prospectus, except where the failure to own or license such rights would not, individually or in the aggregate, have a Material Adverse Effect (collectively, “</w:t>
      </w:r>
      <w:r>
        <w:rPr>
          <w:rFonts w:ascii="Arial" w:cs="Arial" w:eastAsia="Arial" w:hAnsi="Arial"/>
          <w:sz w:val="17"/>
          <w:szCs w:val="17"/>
          <w:b w:val="1"/>
          <w:bCs w:val="1"/>
          <w:color w:val="auto"/>
        </w:rPr>
        <w:t>Intellectual Property</w:t>
      </w:r>
      <w:r>
        <w:rPr>
          <w:rFonts w:ascii="Arial" w:cs="Arial" w:eastAsia="Arial" w:hAnsi="Arial"/>
          <w:sz w:val="17"/>
          <w:szCs w:val="17"/>
          <w:color w:val="auto"/>
        </w:rPr>
        <w:t>”). To the Company’s knowledge: (i) there are no third parties who have rights to any Intellectual Property, except for customary reversionary rights of third-party licensors with respect to Intellectual Property that is disclosed in the Registration Statement, the Time of Sale Prospectus and the Prospectus as licensed to the Company or one or more of its subsidiaries; and (ii) there is no infringement by third parties of any Intellectual Property.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2" w:name="page13"/>
    <w:bookmarkEnd w:id="12"/>
    <w:p>
      <w:pPr>
        <w:ind w:left="-4" w:right="20" w:firstLine="4"/>
        <w:spacing w:after="0" w:line="270" w:lineRule="auto"/>
        <w:tabs>
          <w:tab w:leader="none" w:pos="281" w:val="left"/>
        </w:tabs>
        <w:numPr>
          <w:ilvl w:val="0"/>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challenging the validity, enforceability or scope of any Intellectual Property,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the Time of Sale Prospectus or the Prospectus as under development, infringe or violate, any patent, trademark, trade name, service name, copyright, trade secret or other proprietary rights of others, and the Company is unaware of any facts which would form a reasonable basis for any such action, suit, proceeding or claim. The Company and its subsidiaries have complied with the terms of each agreement pursuant to which Intellectual Property has been licensed to the Company or any subsidiary, and all such agreements are in full force and effect. The product candidates described in the Registration Statement, the Time of Sale Prospectus and the Prospectus as under development by the Company or any subsidiary fall within the scope of the claims of one or more patents owned by, or licensed to, the Company or any subsidiary.</w:t>
      </w:r>
    </w:p>
    <w:p>
      <w:pPr>
        <w:spacing w:after="0" w:line="69" w:lineRule="exact"/>
        <w:rPr>
          <w:rFonts w:ascii="Arial" w:cs="Arial" w:eastAsia="Arial" w:hAnsi="Arial"/>
          <w:sz w:val="17"/>
          <w:szCs w:val="17"/>
          <w:color w:val="auto"/>
        </w:rPr>
      </w:pPr>
    </w:p>
    <w:p>
      <w:pPr>
        <w:ind w:left="-4" w:right="80" w:firstLine="444"/>
        <w:spacing w:after="0" w:line="272" w:lineRule="auto"/>
        <w:tabs>
          <w:tab w:leader="none" w:pos="702" w:val="left"/>
        </w:tabs>
        <w:numPr>
          <w:ilvl w:val="1"/>
          <w:numId w:val="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All Necessary Permits, etc</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its subsidiaries possess, or qualify for applicable exemptions to, such valid and current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certificates, authorizations or permits required by state, federal or foreign regulatory agencies or bodies to conduct their respective businesses as currently conducted and as described in the Registration Statement, the Time of Sale Prospectus or the Prospectus (“</w:t>
      </w:r>
      <w:r>
        <w:rPr>
          <w:rFonts w:ascii="Arial" w:cs="Arial" w:eastAsia="Arial" w:hAnsi="Arial"/>
          <w:sz w:val="17"/>
          <w:szCs w:val="17"/>
          <w:b w:val="1"/>
          <w:bCs w:val="1"/>
          <w:color w:val="auto"/>
        </w:rPr>
        <w:t>Permits</w:t>
      </w:r>
      <w:r>
        <w:rPr>
          <w:rFonts w:ascii="Arial" w:cs="Arial" w:eastAsia="Arial" w:hAnsi="Arial"/>
          <w:sz w:val="17"/>
          <w:szCs w:val="17"/>
          <w:color w:val="auto"/>
        </w:rPr>
        <w:t>”), except where the failure to possess or obtain the same or so qualify would not reasonably be expected, individually or in the aggregate, to have a Material Adverse Effect. Neither the Company nor any of its subsidiaries is in violation of, or in default under, any of the Permits or has received any notice of proceedings relating to the revocation or modification of, or non-compliance with, any of the Permits, except for any such violations, defaults, or proceedings relating to the revocation or modification of, or non-compliance with, any such Permits that would not reasonably be expected, individually or in the aggregate, to have a Material Adverse Effect.</w:t>
      </w:r>
    </w:p>
    <w:p>
      <w:pPr>
        <w:spacing w:after="0" w:line="64" w:lineRule="exact"/>
        <w:rPr>
          <w:rFonts w:ascii="Arial" w:cs="Arial" w:eastAsia="Arial" w:hAnsi="Arial"/>
          <w:sz w:val="17"/>
          <w:szCs w:val="17"/>
          <w:b w:val="1"/>
          <w:bCs w:val="1"/>
          <w:color w:val="auto"/>
        </w:rPr>
      </w:pPr>
    </w:p>
    <w:p>
      <w:pPr>
        <w:ind w:left="-4" w:right="100" w:firstLine="444"/>
        <w:spacing w:after="0" w:line="255" w:lineRule="auto"/>
        <w:tabs>
          <w:tab w:leader="none" w:pos="692"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Title to Properties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described in the Registration Statement, the Time of Sale Prospectus or the Prospectus, the Company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have good and marketable title to all of the real and personal property and other assets reflected as owned in the financial statements referred to in Section 1(j) above (or elsewhere in the Registration Statement, the Time of Sale Prospectus or the Prospectus), in each case free and clear of any security interests, mortgages, liens, encumbrances, equities, adverse claims and other defects, except such as would not reasonably be expected, individually or in the aggregate, to have a Material Adverse Effect.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77" w:lineRule="exact"/>
        <w:rPr>
          <w:rFonts w:ascii="Arial" w:cs="Arial" w:eastAsia="Arial" w:hAnsi="Arial"/>
          <w:sz w:val="18"/>
          <w:szCs w:val="18"/>
          <w:b w:val="1"/>
          <w:bCs w:val="1"/>
          <w:color w:val="auto"/>
        </w:rPr>
      </w:pPr>
    </w:p>
    <w:p>
      <w:pPr>
        <w:ind w:left="-4" w:right="20" w:firstLine="444"/>
        <w:spacing w:after="0" w:line="256" w:lineRule="auto"/>
        <w:tabs>
          <w:tab w:leader="none" w:pos="732"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Tax Law Compliance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and its subsidiaries have filed all necessary federal, state and foreign income and franchise tax returns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properly requested extensions thereof and have paid all material taxes required to be paid by any of them and, if due and payable, any related or similar assessment, fine or penalty levied against any of them except as may be being contested in good faith and by appropriate proceedings. The Company has made adequate charges, accruals and reserves in the applicable financial statements referred to in Section 1(j) above in respect of all material federal, state and foreign income and franchise taxes for all periods as to which the tax liability of the Company or any of its subsidiaries has not been finally determined.</w:t>
      </w:r>
    </w:p>
    <w:p>
      <w:pPr>
        <w:spacing w:after="0" w:line="79" w:lineRule="exact"/>
        <w:rPr>
          <w:rFonts w:ascii="Arial" w:cs="Arial" w:eastAsia="Arial" w:hAnsi="Arial"/>
          <w:sz w:val="18"/>
          <w:szCs w:val="18"/>
          <w:b w:val="1"/>
          <w:bCs w:val="1"/>
          <w:color w:val="auto"/>
        </w:rPr>
      </w:pPr>
    </w:p>
    <w:p>
      <w:pPr>
        <w:ind w:left="-4" w:firstLine="444"/>
        <w:spacing w:after="0" w:line="261" w:lineRule="auto"/>
        <w:tabs>
          <w:tab w:leader="none" w:pos="692"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Insurance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of the Company and its subsidiaries are insured by recognized and reputable institutions with policies in such amounts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such deductibles and covering such risks as are generally deemed adequate and customary for their businesses including, but not limited to, policies covering real and personal property owned or leased by the Company or its subsidiaries against theft, damage, destruction, acts of vandalism and earthquakes and policies covering the Company or its</w:t>
      </w:r>
    </w:p>
    <w:p>
      <w:pPr>
        <w:spacing w:after="0" w:line="117"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16"/>
          </w:cols>
          <w:pgMar w:left="444" w:top="274" w:right="439" w:bottom="1440" w:gutter="0" w:footer="0" w:header="0"/>
        </w:sectPr>
      </w:pPr>
    </w:p>
    <w:bookmarkStart w:id="13" w:name="page14"/>
    <w:bookmarkEnd w:id="13"/>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individually or in the aggregate, to have a Material Adverse Effect. Neither the Company nor any of its subsidiaries has been denied any insurance coverage which it has sought or for which it has applied.</w:t>
      </w:r>
    </w:p>
    <w:p>
      <w:pPr>
        <w:spacing w:after="0" w:line="76" w:lineRule="exact"/>
        <w:rPr>
          <w:sz w:val="20"/>
          <w:szCs w:val="20"/>
          <w:color w:val="auto"/>
        </w:rPr>
      </w:pPr>
    </w:p>
    <w:p>
      <w:pPr>
        <w:ind w:right="20" w:firstLine="444"/>
        <w:spacing w:after="0" w:line="268" w:lineRule="auto"/>
        <w:tabs>
          <w:tab w:leader="none" w:pos="695" w:val="left"/>
        </w:tabs>
        <w:numPr>
          <w:ilvl w:val="1"/>
          <w:numId w:val="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Compliance with Environmental Laws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as would not reasonably be expected, individually or in the aggregate, to have a Material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Adverse Effect: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7"/>
          <w:szCs w:val="17"/>
          <w:b w:val="1"/>
          <w:bCs w:val="1"/>
          <w:color w:val="auto"/>
        </w:rPr>
        <w:t>Hazardous Materials</w:t>
      </w:r>
      <w:r>
        <w:rPr>
          <w:rFonts w:ascii="Arial" w:cs="Arial" w:eastAsia="Arial" w:hAnsi="Arial"/>
          <w:sz w:val="17"/>
          <w:szCs w:val="17"/>
          <w:color w:val="auto"/>
        </w:rPr>
        <w:t>”) or to the manufacture, processing, distribution, use, treatment, storage, disposal, transport or handling of Hazardous Materials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(ii) the Company and its subsidiaries have all permits, authorizations and approvals required under any applicable Environmental Laws and are each in compliance with their requirements; (iii)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of its subsidiaries; and (iv)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77" w:lineRule="exact"/>
        <w:rPr>
          <w:rFonts w:ascii="Arial" w:cs="Arial" w:eastAsia="Arial" w:hAnsi="Arial"/>
          <w:sz w:val="17"/>
          <w:szCs w:val="17"/>
          <w:b w:val="1"/>
          <w:bCs w:val="1"/>
          <w:color w:val="auto"/>
        </w:rPr>
      </w:pPr>
    </w:p>
    <w:p>
      <w:pPr>
        <w:ind w:right="20" w:firstLine="444"/>
        <w:spacing w:after="0" w:line="284" w:lineRule="auto"/>
        <w:tabs>
          <w:tab w:leader="none" w:pos="685" w:val="left"/>
        </w:tabs>
        <w:numPr>
          <w:ilvl w:val="1"/>
          <w:numId w:val="1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ERISA Compliance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its subsidiaries and any “employee benefit plan” (as defined under the Employee Retirement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Security Act of 1974, as amended, and the regulations and published interpretations thereunder (collectively, “</w:t>
      </w:r>
      <w:r>
        <w:rPr>
          <w:rFonts w:ascii="Arial" w:cs="Arial" w:eastAsia="Arial" w:hAnsi="Arial"/>
          <w:sz w:val="16"/>
          <w:szCs w:val="16"/>
          <w:b w:val="1"/>
          <w:bCs w:val="1"/>
          <w:color w:val="auto"/>
        </w:rPr>
        <w:t>ERISA</w:t>
      </w:r>
      <w:r>
        <w:rPr>
          <w:rFonts w:ascii="Arial" w:cs="Arial" w:eastAsia="Arial" w:hAnsi="Arial"/>
          <w:sz w:val="16"/>
          <w:szCs w:val="16"/>
          <w:color w:val="auto"/>
        </w:rPr>
        <w:t>”)) established or maintained by the Company, its subsidiaries or their “ERISA Affiliates” (as defined below) are in compliance in all material respects with ERISA. “</w:t>
      </w:r>
      <w:r>
        <w:rPr>
          <w:rFonts w:ascii="Arial" w:cs="Arial" w:eastAsia="Arial" w:hAnsi="Arial"/>
          <w:sz w:val="16"/>
          <w:szCs w:val="16"/>
          <w:b w:val="1"/>
          <w:bCs w:val="1"/>
          <w:color w:val="auto"/>
        </w:rPr>
        <w:t>ERISA Affiliate</w:t>
      </w:r>
      <w:r>
        <w:rPr>
          <w:rFonts w:ascii="Arial" w:cs="Arial" w:eastAsia="Arial" w:hAnsi="Arial"/>
          <w:sz w:val="16"/>
          <w:szCs w:val="16"/>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Arial" w:cs="Arial" w:eastAsia="Arial" w:hAnsi="Arial"/>
          <w:sz w:val="16"/>
          <w:szCs w:val="16"/>
          <w:b w:val="1"/>
          <w:bCs w:val="1"/>
          <w:color w:val="auto"/>
        </w:rPr>
        <w:t>Code</w:t>
      </w:r>
      <w:r>
        <w:rPr>
          <w:rFonts w:ascii="Arial" w:cs="Arial" w:eastAsia="Arial" w:hAnsi="Arial"/>
          <w:sz w:val="16"/>
          <w:szCs w:val="16"/>
          <w:color w:val="auto"/>
        </w:rPr>
        <w:t>”) of which the Company or such subsidiary is a member. Except as would not reasonably be expected, individually or in the aggregate, to have a Material Adverse Effect, (i) no “reportable event” (as defined under ERISA) has occurred or is reasonably expected to occur with respect to any “employee benefit plan” established or maintained by the Company, its subsidiaries or any of their ERISA Affiliates; (ii) no “employee benefit plan” established or maintained by the Company, its subsidiaries or any of their ERISA Affiliates, if such “employee benefit plan” were terminated, would have any “amount of unfunded benefit liabilities” (as defined under ERISA); and (iii) neither the Company, its subsidiaries nor any of their ERISA Affiliates has incurred or reasonably expects to incur any liability under (x) Title IV of ERISA with respect to termination of, or withdrawal from, any “employee benefit plan” or</w:t>
      </w:r>
    </w:p>
    <w:p>
      <w:pPr>
        <w:ind w:left="260" w:hanging="256"/>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Sections 412, 4971, 4975 or 4980B of the Code. Each employee benefit plan established or maintained by the Company, its subsidiaries or any of</w:t>
      </w:r>
    </w:p>
    <w:p>
      <w:pPr>
        <w:spacing w:after="0" w:line="32"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their ERISA Affiliates that is intended to be qualified under Section 401(a) of the Code has received a favorable determination or opinion letter from the Internal Revenue Service or has time remaining to do so and, to the knowledge of the Company, nothing has occurred, whether by action or failure to act, which would cause the loss of such qualification.</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4" w:name="page15"/>
    <w:bookmarkEnd w:id="14"/>
    <w:p>
      <w:pPr>
        <w:ind w:left="-20" w:right="200" w:firstLine="444"/>
        <w:spacing w:after="0" w:line="259" w:lineRule="auto"/>
        <w:tabs>
          <w:tab w:leader="none" w:pos="76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Company Not an “Investment Company.” </w:t>
      </w:r>
      <w:r>
        <w:rPr>
          <w:rFonts w:ascii="Arial" w:cs="Arial" w:eastAsia="Arial" w:hAnsi="Arial"/>
          <w:sz w:val="18"/>
          <w:szCs w:val="18"/>
          <w:color w:val="auto"/>
        </w:rPr>
        <w:t>The Company is not, and will not be, either after receipt of payment for the Offered Shares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Arial" w:cs="Arial" w:eastAsia="Arial" w:hAnsi="Arial"/>
          <w:sz w:val="18"/>
          <w:szCs w:val="18"/>
          <w:b w:val="1"/>
          <w:bCs w:val="1"/>
          <w:color w:val="auto"/>
        </w:rPr>
        <w:t>Investment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74" w:lineRule="exact"/>
        <w:rPr>
          <w:rFonts w:ascii="Arial" w:cs="Arial" w:eastAsia="Arial" w:hAnsi="Arial"/>
          <w:sz w:val="18"/>
          <w:szCs w:val="18"/>
          <w:b w:val="1"/>
          <w:bCs w:val="1"/>
          <w:color w:val="auto"/>
        </w:rPr>
      </w:pPr>
    </w:p>
    <w:p>
      <w:pPr>
        <w:ind w:left="-20" w:right="40" w:firstLine="444"/>
        <w:spacing w:after="0" w:line="258" w:lineRule="auto"/>
        <w:tabs>
          <w:tab w:leader="none" w:pos="78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Price Stabilization or Manipulation; Compliance with Regulation 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Neither the Company nor any of its subsidiaries has taken,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directly or indirectly, without giving effect to activities by the Underwriters, any action designed to or that might reasonably be expected to cause or result in stabilization or manipulation of the price of the Shares or of any “reference security” (as defined in Rule 100 of Regulation M under the Exchange Act (“</w:t>
      </w:r>
      <w:r>
        <w:rPr>
          <w:rFonts w:ascii="Arial" w:cs="Arial" w:eastAsia="Arial" w:hAnsi="Arial"/>
          <w:sz w:val="18"/>
          <w:szCs w:val="18"/>
          <w:b w:val="1"/>
          <w:bCs w:val="1"/>
          <w:color w:val="auto"/>
        </w:rPr>
        <w:t>Regulation M</w:t>
      </w:r>
      <w:r>
        <w:rPr>
          <w:rFonts w:ascii="Arial" w:cs="Arial" w:eastAsia="Arial" w:hAnsi="Arial"/>
          <w:sz w:val="18"/>
          <w:szCs w:val="18"/>
          <w:color w:val="auto"/>
        </w:rPr>
        <w:t>”)) with respect to the Shares, whether to facilitate the sale or resale of the Offered Shares or otherwise, and has taken no action which would directly or indirectly violate Regulation M.</w:t>
      </w:r>
    </w:p>
    <w:p>
      <w:pPr>
        <w:spacing w:after="0" w:line="75" w:lineRule="exact"/>
        <w:rPr>
          <w:rFonts w:ascii="Arial" w:cs="Arial" w:eastAsia="Arial" w:hAnsi="Arial"/>
          <w:sz w:val="18"/>
          <w:szCs w:val="18"/>
          <w:b w:val="1"/>
          <w:bCs w:val="1"/>
          <w:color w:val="auto"/>
        </w:rPr>
      </w:pPr>
    </w:p>
    <w:p>
      <w:pPr>
        <w:ind w:left="-20" w:right="40" w:firstLine="444"/>
        <w:spacing w:after="0" w:line="266" w:lineRule="auto"/>
        <w:tabs>
          <w:tab w:leader="none" w:pos="74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Related-Party Transactions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business relationships or related-party transactions involving the Company or any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or any other person required to be described in the Registration Statement, the Time of Sale Prospectus or the Prospectus that have not been described as required.</w:t>
      </w:r>
    </w:p>
    <w:p>
      <w:pPr>
        <w:spacing w:after="0" w:line="68" w:lineRule="exact"/>
        <w:rPr>
          <w:rFonts w:ascii="Arial" w:cs="Arial" w:eastAsia="Arial" w:hAnsi="Arial"/>
          <w:sz w:val="18"/>
          <w:szCs w:val="18"/>
          <w:b w:val="1"/>
          <w:bCs w:val="1"/>
          <w:color w:val="auto"/>
        </w:rPr>
      </w:pPr>
    </w:p>
    <w:p>
      <w:pPr>
        <w:ind w:left="-20" w:right="140" w:firstLine="444"/>
        <w:spacing w:after="0" w:line="303" w:lineRule="auto"/>
        <w:tabs>
          <w:tab w:leader="none" w:pos="786"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FINRA Matters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of the information provided to the Underwriters or to counsel for the Underwriters by the Company, its officers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and, to the knowledge of the Company, its counsel and the holders of any securities (debt or equity) or options to acquire any securities of the Company, in connection with the offering of the Offered Shares is true, complete, correct and compliant with FINRA’s rules and any letters, filings or other supplemental information provided to FINRA pursuant to FINRA Rules or NASD Conduct Rules is true, complete and correct.</w:t>
      </w:r>
    </w:p>
    <w:p>
      <w:pPr>
        <w:spacing w:after="0" w:line="43" w:lineRule="exact"/>
        <w:rPr>
          <w:rFonts w:ascii="Arial" w:cs="Arial" w:eastAsia="Arial" w:hAnsi="Arial"/>
          <w:sz w:val="16"/>
          <w:szCs w:val="16"/>
          <w:b w:val="1"/>
          <w:bCs w:val="1"/>
          <w:color w:val="auto"/>
        </w:rPr>
      </w:pPr>
    </w:p>
    <w:p>
      <w:pPr>
        <w:ind w:left="-20" w:firstLine="444"/>
        <w:spacing w:after="0" w:line="258" w:lineRule="auto"/>
        <w:tabs>
          <w:tab w:leader="none" w:pos="74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Parties to Lock-Up Agreements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furnished to the Underwriters a letter agreement in the form attached hereto as</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Lock-up Agreement</w:t>
      </w:r>
      <w:r>
        <w:rPr>
          <w:rFonts w:ascii="Arial" w:cs="Arial" w:eastAsia="Arial" w:hAnsi="Arial"/>
          <w:sz w:val="18"/>
          <w:szCs w:val="18"/>
          <w:color w:val="auto"/>
        </w:rPr>
        <w:t xml:space="preserve">”) from each of the persons listed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Such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lists under an appropriate caption the directors and officers of the Company. If any additional persons shall become directors or officers of the Company prior to the end of the Company Lock-up Period (as defined below), the Company shall cause each such person, prior to or contemporaneously with their appointment or election as a director or officer of the Company, to execute and deliver to the Representatives a Lock-up Agreement.</w:t>
      </w:r>
    </w:p>
    <w:p>
      <w:pPr>
        <w:spacing w:after="0" w:line="75" w:lineRule="exact"/>
        <w:rPr>
          <w:rFonts w:ascii="Arial" w:cs="Arial" w:eastAsia="Arial" w:hAnsi="Arial"/>
          <w:sz w:val="18"/>
          <w:szCs w:val="18"/>
          <w:b w:val="1"/>
          <w:bCs w:val="1"/>
          <w:color w:val="auto"/>
        </w:rPr>
      </w:pPr>
    </w:p>
    <w:p>
      <w:pPr>
        <w:jc w:val="both"/>
        <w:ind w:left="-20" w:right="60" w:firstLine="444"/>
        <w:spacing w:after="0" w:line="289" w:lineRule="auto"/>
        <w:tabs>
          <w:tab w:leader="none" w:pos="705"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Statistical and Market-Related Data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statistical, demographic and market-related data included in the Registration Statement, the Time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 Prospectus or the Prospectus are based on or derived from sources that the Company believes, after reasonable inquiry, to be reliable and accurate. To the extent required, the Company has obtained the written consent to the use of such data from such sources.</w:t>
      </w:r>
    </w:p>
    <w:p>
      <w:pPr>
        <w:spacing w:after="0" w:line="50" w:lineRule="exact"/>
        <w:rPr>
          <w:rFonts w:ascii="Arial" w:cs="Arial" w:eastAsia="Arial" w:hAnsi="Arial"/>
          <w:sz w:val="17"/>
          <w:szCs w:val="17"/>
          <w:b w:val="1"/>
          <w:bCs w:val="1"/>
          <w:color w:val="auto"/>
        </w:rPr>
      </w:pPr>
    </w:p>
    <w:p>
      <w:pPr>
        <w:ind w:left="-20" w:firstLine="444"/>
        <w:spacing w:after="0" w:line="261" w:lineRule="auto"/>
        <w:tabs>
          <w:tab w:leader="none" w:pos="76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Unlawful Contributions or Other Payments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Neither the Company nor any of its subsidiaries nor, to the knowledge of the Company,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or agent of the Company or any subsidiary, has made any contribution or other payment to any official of, or candidate for, any federal, state or foreign office in violation of any applicable law or of the character required to be disclosed in the Registration Statement, the Time of Sale Prospectus or the Prospectus.</w:t>
      </w:r>
    </w:p>
    <w:p>
      <w:pPr>
        <w:spacing w:after="0" w:line="71" w:lineRule="exact"/>
        <w:rPr>
          <w:rFonts w:ascii="Arial" w:cs="Arial" w:eastAsia="Arial" w:hAnsi="Arial"/>
          <w:sz w:val="18"/>
          <w:szCs w:val="18"/>
          <w:b w:val="1"/>
          <w:bCs w:val="1"/>
          <w:color w:val="auto"/>
        </w:rPr>
      </w:pPr>
    </w:p>
    <w:p>
      <w:pPr>
        <w:ind w:left="-20" w:right="20" w:firstLine="444"/>
        <w:spacing w:after="0" w:line="261" w:lineRule="auto"/>
        <w:tabs>
          <w:tab w:leader="none" w:pos="78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Anti-Corruption and Anti-Bribery Laws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Neither the Company nor any of its subsidiaries nor, to the knowledge of the Company,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officer, agent, employee,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any direct or indirect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74" w:right="459" w:bottom="1440" w:gutter="0" w:footer="0" w:header="0"/>
        </w:sectPr>
      </w:pPr>
    </w:p>
    <w:bookmarkStart w:id="15" w:name="page16"/>
    <w:bookmarkEnd w:id="15"/>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unlawful payment to any domestic government official, “foreign official” (as defined in the U.S. Foreign Corrupt Practices Act of 1977, as amended, and the rules and regulations thereunder (collectively, the “</w:t>
      </w:r>
      <w:r>
        <w:rPr>
          <w:rFonts w:ascii="Arial" w:cs="Arial" w:eastAsia="Arial" w:hAnsi="Arial"/>
          <w:sz w:val="16"/>
          <w:szCs w:val="16"/>
          <w:b w:val="1"/>
          <w:bCs w:val="1"/>
          <w:color w:val="auto"/>
        </w:rPr>
        <w:t>FCPA</w:t>
      </w:r>
      <w:r>
        <w:rPr>
          <w:rFonts w:ascii="Arial" w:cs="Arial" w:eastAsia="Arial" w:hAnsi="Arial"/>
          <w:sz w:val="16"/>
          <w:szCs w:val="16"/>
          <w:color w:val="auto"/>
        </w:rPr>
        <w:t>”) or employee from corporate funds; (iii) violated or is in violation of any provision of the FCPA or any applicable non-U.S. anti-bribery statute or regulation; or (iv) made any unlawful bribe, rebate, payoff, influence payment, kickback or other unlawful payment to any domestic government official, such foreign official or employee; and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53" w:lineRule="exact"/>
        <w:rPr>
          <w:sz w:val="20"/>
          <w:szCs w:val="20"/>
          <w:color w:val="auto"/>
        </w:rPr>
      </w:pPr>
    </w:p>
    <w:p>
      <w:pPr>
        <w:ind w:right="20" w:firstLine="444"/>
        <w:spacing w:after="0" w:line="274" w:lineRule="auto"/>
        <w:tabs>
          <w:tab w:leader="none" w:pos="706"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Money Laundering Laws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operations of the Company and its subsidiaries are, and have been conducted at all times, in compliance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65" w:lineRule="exact"/>
        <w:rPr>
          <w:rFonts w:ascii="Arial" w:cs="Arial" w:eastAsia="Arial" w:hAnsi="Arial"/>
          <w:sz w:val="17"/>
          <w:szCs w:val="17"/>
          <w:b w:val="1"/>
          <w:bCs w:val="1"/>
          <w:color w:val="auto"/>
        </w:rPr>
      </w:pPr>
    </w:p>
    <w:p>
      <w:pPr>
        <w:ind w:right="20" w:firstLine="444"/>
        <w:spacing w:after="0" w:line="273" w:lineRule="auto"/>
        <w:tabs>
          <w:tab w:leader="none" w:pos="725"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Sanctions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the Company nor any of its subsidiaries nor, to the knowledge of the Company any director, officer, agent, employee,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affiliate or person acting on behalf of the Company or any of its subsidiaries is currently subject to any U.S. sanctions administered by the Office of Foreign Assets Control of the U.S. Treasury Department (“</w:t>
      </w:r>
      <w:r>
        <w:rPr>
          <w:rFonts w:ascii="Arial" w:cs="Arial" w:eastAsia="Arial" w:hAnsi="Arial"/>
          <w:sz w:val="17"/>
          <w:szCs w:val="17"/>
          <w:b w:val="1"/>
          <w:bCs w:val="1"/>
          <w:color w:val="auto"/>
        </w:rPr>
        <w:t>OFAC</w:t>
      </w:r>
      <w:r>
        <w:rPr>
          <w:rFonts w:ascii="Arial" w:cs="Arial" w:eastAsia="Arial" w:hAnsi="Arial"/>
          <w:sz w:val="17"/>
          <w:szCs w:val="17"/>
          <w:color w:val="auto"/>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currently is the subject to any U.S. sanctions administered by OFAC or in any other manner that will result in a violation by any person (including any person participating in the transaction whether as underwriter, advisor, investor or otherwise) of U.S. sanctions administered by OFAC.</w:t>
      </w:r>
    </w:p>
    <w:p>
      <w:pPr>
        <w:spacing w:after="0" w:line="64" w:lineRule="exact"/>
        <w:rPr>
          <w:rFonts w:ascii="Arial" w:cs="Arial" w:eastAsia="Arial" w:hAnsi="Arial"/>
          <w:sz w:val="17"/>
          <w:szCs w:val="17"/>
          <w:b w:val="1"/>
          <w:bCs w:val="1"/>
          <w:color w:val="auto"/>
        </w:rPr>
      </w:pPr>
    </w:p>
    <w:p>
      <w:pPr>
        <w:ind w:right="600" w:firstLine="444"/>
        <w:spacing w:after="0" w:line="313" w:lineRule="auto"/>
        <w:tabs>
          <w:tab w:leader="none" w:pos="806"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Brokers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pursuant to this Agreement, there is no broker, finder or other party that is entitled to receive from the Company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brokerage or finder’s fee or other fee or commission as a result of any transactions contemplated by this Agreement.</w:t>
      </w:r>
    </w:p>
    <w:p>
      <w:pPr>
        <w:spacing w:after="0" w:line="34" w:lineRule="exact"/>
        <w:rPr>
          <w:rFonts w:ascii="Arial" w:cs="Arial" w:eastAsia="Arial" w:hAnsi="Arial"/>
          <w:sz w:val="17"/>
          <w:szCs w:val="17"/>
          <w:b w:val="1"/>
          <w:bCs w:val="1"/>
          <w:color w:val="auto"/>
        </w:rPr>
      </w:pPr>
    </w:p>
    <w:p>
      <w:pPr>
        <w:ind w:firstLine="444"/>
        <w:spacing w:after="0" w:line="273" w:lineRule="auto"/>
        <w:tabs>
          <w:tab w:leader="none" w:pos="706"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Forward-Looking Statements. </w:t>
      </w:r>
      <w:r>
        <w:rPr>
          <w:rFonts w:ascii="Arial" w:cs="Arial" w:eastAsia="Arial" w:hAnsi="Arial"/>
          <w:sz w:val="17"/>
          <w:szCs w:val="17"/>
          <w:color w:val="auto"/>
        </w:rPr>
        <w:t>Each financial or operational projection or other “forward-looking statement” (as defined by Section 27A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spacing w:after="0" w:line="70" w:lineRule="exact"/>
        <w:rPr>
          <w:rFonts w:ascii="Arial" w:cs="Arial" w:eastAsia="Arial" w:hAnsi="Arial"/>
          <w:sz w:val="17"/>
          <w:szCs w:val="17"/>
          <w:b w:val="1"/>
          <w:bCs w:val="1"/>
          <w:color w:val="auto"/>
        </w:rPr>
      </w:pPr>
    </w:p>
    <w:p>
      <w:pPr>
        <w:jc w:val="both"/>
        <w:ind w:right="100" w:firstLine="444"/>
        <w:spacing w:after="0" w:line="259" w:lineRule="auto"/>
        <w:tabs>
          <w:tab w:leader="none" w:pos="90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Emerging Growth Company Status</w:t>
      </w:r>
      <w:r>
        <w:rPr>
          <w:rFonts w:ascii="Arial" w:cs="Arial" w:eastAsia="Arial" w:hAnsi="Arial"/>
          <w:sz w:val="18"/>
          <w:szCs w:val="18"/>
          <w:color w:val="auto"/>
        </w:rPr>
        <w:t>. From the time of initial confidential submission of the Registration Statement to the Commission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earlier, the first date on which the Company engaged in any Section 5(d) Written Communication or any Section 5(d) Oral Communication) through the date hereof, the Company has been and is an “emerging growth company,” as defined in Section 2(a) of the Securities Act (an “</w:t>
      </w:r>
      <w:r>
        <w:rPr>
          <w:rFonts w:ascii="Arial" w:cs="Arial" w:eastAsia="Arial" w:hAnsi="Arial"/>
          <w:sz w:val="18"/>
          <w:szCs w:val="18"/>
          <w:b w:val="1"/>
          <w:bCs w:val="1"/>
          <w:color w:val="auto"/>
        </w:rPr>
        <w:t>Emerging Growth</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6" w:name="page17"/>
    <w:bookmarkEnd w:id="16"/>
    <w:p>
      <w:pPr>
        <w:ind w:left="-40" w:firstLine="444"/>
        <w:spacing w:after="0" w:line="288" w:lineRule="auto"/>
        <w:tabs>
          <w:tab w:leader="none" w:pos="766"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Communications</w:t>
      </w:r>
      <w:r>
        <w:rPr>
          <w:rFonts w:ascii="Arial" w:cs="Arial" w:eastAsia="Arial" w:hAnsi="Arial"/>
          <w:sz w:val="16"/>
          <w:szCs w:val="16"/>
          <w:color w:val="auto"/>
        </w:rPr>
        <w:t>. The Company (i) has not alone engaged in communications with potential investors in reliance on Section 5(d)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Act other than Permitted Section 5(d) Communications with the consent of the Representatives with entities that are QIBs or IAIs and (ii) has not authorized anyone other than the Representatives to engage in such communications; the Company reconfirms that the Representatives have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the Preliminary Prospectus and the Prospectus; and the Company has filed publicly on EDGAR at least 15 calendar days prior to any “road show” (as defined in Rule 433 under the Act), any confidentially submitted registration statement and registration statement amendments relating to the offer and sale of the Offered Shares.</w:t>
      </w:r>
    </w:p>
    <w:p>
      <w:pPr>
        <w:spacing w:after="0" w:line="61" w:lineRule="exact"/>
        <w:rPr>
          <w:rFonts w:ascii="Arial" w:cs="Arial" w:eastAsia="Arial" w:hAnsi="Arial"/>
          <w:sz w:val="16"/>
          <w:szCs w:val="16"/>
          <w:b w:val="1"/>
          <w:bCs w:val="1"/>
          <w:color w:val="auto"/>
        </w:rPr>
      </w:pPr>
    </w:p>
    <w:p>
      <w:pPr>
        <w:ind w:left="-40" w:firstLine="444"/>
        <w:spacing w:after="0" w:line="286" w:lineRule="auto"/>
        <w:tabs>
          <w:tab w:leader="none" w:pos="745"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Clinical Data and Regulatory Compliance. </w:t>
      </w:r>
      <w:r>
        <w:rPr>
          <w:rFonts w:ascii="Arial" w:cs="Arial" w:eastAsia="Arial" w:hAnsi="Arial"/>
          <w:sz w:val="16"/>
          <w:szCs w:val="16"/>
          <w:color w:val="auto"/>
        </w:rPr>
        <w:t>The preclinical tests and clinical trials, and other studies (collectively, “studies”)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or the results of which are referred to in, the Registration Statement, the Time of Sale Prospectus or the Prospectus were and, if still pending, are being conducted in all material respects in accordance with the protocols, procedures and controls designed and approved for such studies and with standard medical and scientific research procedures and all applicable laws and regulations, including, without limitation, 21 C.F.R. Parts 50, 54, 56, 58, 312 and 812;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Registration Statement, the Time of Sale Prospectus or the Prospectus; the Company and its subsidiaries have made all such filings and obtained all such approvals as may be required by the Food and Drug Administration of the U.S. Department of Health and Human Services or from any other U.S. or foreign government or drug or medical device regulatory agency, or health care facility Institutional Review Board (collectively, the “</w:t>
      </w:r>
      <w:r>
        <w:rPr>
          <w:rFonts w:ascii="Arial" w:cs="Arial" w:eastAsia="Arial" w:hAnsi="Arial"/>
          <w:sz w:val="16"/>
          <w:szCs w:val="16"/>
          <w:b w:val="1"/>
          <w:bCs w:val="1"/>
          <w:color w:val="auto"/>
        </w:rPr>
        <w:t>Regulatory Agencies</w:t>
      </w:r>
      <w:r>
        <w:rPr>
          <w:rFonts w:ascii="Arial" w:cs="Arial" w:eastAsia="Arial" w:hAnsi="Arial"/>
          <w:sz w:val="16"/>
          <w:szCs w:val="16"/>
          <w:color w:val="auto"/>
        </w:rPr>
        <w:t>”); neither the Company nor any of its subsidiaries has received any written notice of, or correspondence from, any Regulatory Agency requiring the termination, suspension or material modification of any clinical trials that are described or referred to in the Registration Statement, the Time of Sale Prospectus or the Prospectus; and the Company and its subsidiaries have each operated and currently are in compliance in all material respects with all applicable rules and regulations of the Regulatory Agencies.</w:t>
      </w:r>
    </w:p>
    <w:p>
      <w:pPr>
        <w:spacing w:after="0" w:line="66" w:lineRule="exact"/>
        <w:rPr>
          <w:rFonts w:ascii="Arial" w:cs="Arial" w:eastAsia="Arial" w:hAnsi="Arial"/>
          <w:sz w:val="16"/>
          <w:szCs w:val="16"/>
          <w:b w:val="1"/>
          <w:bCs w:val="1"/>
          <w:color w:val="auto"/>
        </w:rPr>
      </w:pPr>
    </w:p>
    <w:p>
      <w:pPr>
        <w:jc w:val="both"/>
        <w:ind w:left="-40" w:right="60" w:firstLine="444"/>
        <w:spacing w:after="0" w:line="286" w:lineRule="auto"/>
        <w:tabs>
          <w:tab w:leader="none" w:pos="766"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No Rights to Purchase Preferred Stock. </w:t>
      </w:r>
      <w:r>
        <w:rPr>
          <w:rFonts w:ascii="Arial" w:cs="Arial" w:eastAsia="Arial" w:hAnsi="Arial"/>
          <w:sz w:val="17"/>
          <w:szCs w:val="17"/>
          <w:color w:val="auto"/>
        </w:rPr>
        <w:t>The issuance and sale of the Shares as contemplated hereby will not cause any holder of any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capital stock, securities convertible into or exchangeable or exercisable for capital stock or options, warrants or other rights to purchase capital stock or any other securities of the Company to have any right to acquire any shares of preferred stock of the Company.</w:t>
      </w:r>
    </w:p>
    <w:p>
      <w:pPr>
        <w:spacing w:after="0" w:line="57" w:lineRule="exact"/>
        <w:rPr>
          <w:rFonts w:ascii="Arial" w:cs="Arial" w:eastAsia="Arial" w:hAnsi="Arial"/>
          <w:sz w:val="17"/>
          <w:szCs w:val="17"/>
          <w:b w:val="1"/>
          <w:bCs w:val="1"/>
          <w:color w:val="auto"/>
        </w:rPr>
      </w:pPr>
    </w:p>
    <w:p>
      <w:pPr>
        <w:ind w:left="-40" w:right="160" w:firstLine="444"/>
        <w:spacing w:after="0" w:line="308" w:lineRule="auto"/>
        <w:tabs>
          <w:tab w:leader="none" w:pos="766"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No Rated Securities. </w:t>
      </w:r>
      <w:r>
        <w:rPr>
          <w:rFonts w:ascii="Arial" w:cs="Arial" w:eastAsia="Arial" w:hAnsi="Arial"/>
          <w:sz w:val="17"/>
          <w:szCs w:val="17"/>
          <w:color w:val="auto"/>
        </w:rPr>
        <w:t>There are no debt securities or preferred stock of, or guaranteed by, the Company or any its subsidiaries that are rated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a “nationally recognized statistical rating organization” as that term is used in Rule 15c3-1(c)(2)(vi)(F) under the Exchange Act.</w:t>
      </w:r>
    </w:p>
    <w:p>
      <w:pPr>
        <w:spacing w:after="0" w:line="38" w:lineRule="exact"/>
        <w:rPr>
          <w:rFonts w:ascii="Arial" w:cs="Arial" w:eastAsia="Arial" w:hAnsi="Arial"/>
          <w:sz w:val="17"/>
          <w:szCs w:val="17"/>
          <w:b w:val="1"/>
          <w:bCs w:val="1"/>
          <w:color w:val="auto"/>
        </w:rPr>
      </w:pPr>
    </w:p>
    <w:p>
      <w:pPr>
        <w:ind w:left="-40" w:right="140" w:firstLine="444"/>
        <w:spacing w:after="0" w:line="259" w:lineRule="auto"/>
        <w:tabs>
          <w:tab w:leader="none" w:pos="725"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Cybersecurity</w:t>
      </w:r>
      <w:r>
        <w:rPr>
          <w:rFonts w:ascii="Arial" w:cs="Arial" w:eastAsia="Arial" w:hAnsi="Arial"/>
          <w:sz w:val="18"/>
          <w:szCs w:val="18"/>
          <w:color w:val="auto"/>
        </w:rPr>
        <w:t>. There has been no security breach or other compromise of or relating to any of the information technology and computer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 networks, hardware, software, data (including the data of its customers, employees, suppliers, vendors and any third party data maintained by or on behalf of the Company or any of its subsidiaries), equipment or technology owned, held or used by or for the Company or any of its subsidiaries (collectively, the “</w:t>
      </w:r>
      <w:r>
        <w:rPr>
          <w:rFonts w:ascii="Arial" w:cs="Arial" w:eastAsia="Arial" w:hAnsi="Arial"/>
          <w:sz w:val="18"/>
          <w:szCs w:val="18"/>
          <w:b w:val="1"/>
          <w:bCs w:val="1"/>
          <w:color w:val="auto"/>
        </w:rPr>
        <w:t>IT Systems and Data</w:t>
      </w:r>
      <w:r>
        <w:rPr>
          <w:rFonts w:ascii="Arial" w:cs="Arial" w:eastAsia="Arial" w:hAnsi="Arial"/>
          <w:sz w:val="18"/>
          <w:szCs w:val="18"/>
          <w:color w:val="auto"/>
        </w:rPr>
        <w:t>”), except for those that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80" w:top="274" w:right="479" w:bottom="1440" w:gutter="0" w:footer="0" w:header="0"/>
        </w:sectPr>
      </w:pPr>
    </w:p>
    <w:bookmarkStart w:id="17" w:name="page18"/>
    <w:bookmarkEnd w:id="17"/>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been remedied without material cost or liability or the duty to notify any other person, nor are there any incidents under internal review or investigations relating to the same and (i) the Company has not been notified of, and has no knowledge of any event or condition that would reasonably be expected to result in, any security breach or other compromise to the IT Systems and Data; (ii)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(x) the collection, use, transfer, storage, protection, disposal and/or disclosure of personally identifiable information collected from or provided by third parties, (y) the privacy and security of the IT Systems and Data and</w:t>
      </w:r>
    </w:p>
    <w:p>
      <w:pPr>
        <w:spacing w:after="0" w:line="5" w:lineRule="exact"/>
        <w:rPr>
          <w:sz w:val="20"/>
          <w:szCs w:val="20"/>
          <w:color w:val="auto"/>
        </w:rPr>
      </w:pPr>
    </w:p>
    <w:p>
      <w:pPr>
        <w:ind w:firstLine="4"/>
        <w:spacing w:after="0" w:line="254" w:lineRule="auto"/>
        <w:tabs>
          <w:tab w:leader="none" w:pos="2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protection of the IT Systems and Data from unauthorized use, access, misappropriation or modification, except as would not, in the case of this clause (ii), individually or in the aggregate, have a Material Adverse Effect; and (iii) the Company and its subsidiaries have taken commercially reasonable steps to protect the IT Systems and Data, including by implementing backup, security and disaster recovery plans, procedures and technology consistent with industry standards and practices.</w:t>
      </w:r>
    </w:p>
    <w:p>
      <w:pPr>
        <w:spacing w:after="0" w:line="190"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Any certificate signed by any officer of the Company and delivered to any Underwriter or to counsel for the Underwriters in connection with the offering, or the purchase and sale, of the Offered Shares shall be deemed a representation and warranty by the Company (and not by such officer in his or her personal capacity) to each Underwriter as to the matters covered thereby.</w:t>
      </w:r>
    </w:p>
    <w:p>
      <w:pPr>
        <w:spacing w:after="0" w:line="181" w:lineRule="exact"/>
        <w:rPr>
          <w:sz w:val="20"/>
          <w:szCs w:val="20"/>
          <w:color w:val="auto"/>
        </w:rPr>
      </w:pPr>
    </w:p>
    <w:p>
      <w:pPr>
        <w:ind w:right="240" w:firstLine="441"/>
        <w:spacing w:after="0" w:line="286" w:lineRule="auto"/>
        <w:rPr>
          <w:sz w:val="20"/>
          <w:szCs w:val="20"/>
          <w:color w:val="auto"/>
        </w:rPr>
      </w:pPr>
      <w:r>
        <w:rPr>
          <w:rFonts w:ascii="Arial" w:cs="Arial" w:eastAsia="Arial" w:hAnsi="Arial"/>
          <w:sz w:val="17"/>
          <w:szCs w:val="17"/>
          <w:color w:val="auto"/>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Section 2. Purchase, Sale and Delivery of the Offered Shares</w:t>
      </w:r>
      <w:r>
        <w:rPr>
          <w:rFonts w:ascii="Arial" w:cs="Arial" w:eastAsia="Arial" w:hAnsi="Arial"/>
          <w:sz w:val="18"/>
          <w:szCs w:val="18"/>
          <w:color w:val="auto"/>
        </w:rPr>
        <w:t>.</w:t>
      </w:r>
    </w:p>
    <w:p>
      <w:pPr>
        <w:spacing w:after="0" w:line="117" w:lineRule="exact"/>
        <w:rPr>
          <w:sz w:val="20"/>
          <w:szCs w:val="20"/>
          <w:color w:val="auto"/>
        </w:rPr>
      </w:pPr>
    </w:p>
    <w:p>
      <w:pPr>
        <w:jc w:val="both"/>
        <w:ind w:right="40" w:firstLine="444"/>
        <w:spacing w:after="0" w:line="303" w:lineRule="auto"/>
        <w:tabs>
          <w:tab w:leader="none" w:pos="695"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Firm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terms herein set forth, the Company agrees to issue and sell to the several Underwriters an aggregate of 9,000,000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Firm Shares. On the basis of the representations, warranties and agreements herein contained, and upon the terms but subject to the conditions herein set forth, the Underwriters agree, severally and not jointly, to purchase from the Company the respective number of Firm Shares set forth opposite their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The purchase price per Firm Share to be paid by the several Underwriters to the Company shall be $3.901 per share.</w:t>
      </w:r>
    </w:p>
    <w:p>
      <w:pPr>
        <w:spacing w:after="0" w:line="43" w:lineRule="exact"/>
        <w:rPr>
          <w:rFonts w:ascii="Arial" w:cs="Arial" w:eastAsia="Arial" w:hAnsi="Arial"/>
          <w:sz w:val="16"/>
          <w:szCs w:val="16"/>
          <w:b w:val="1"/>
          <w:bCs w:val="1"/>
          <w:color w:val="auto"/>
        </w:rPr>
      </w:pPr>
    </w:p>
    <w:p>
      <w:pPr>
        <w:ind w:right="60" w:firstLine="444"/>
        <w:spacing w:after="0" w:line="273" w:lineRule="auto"/>
        <w:tabs>
          <w:tab w:leader="none" w:pos="706"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The First Closing Date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Delivery of certificates for the Firm Shares to be purchased by the Underwriters and payment therefor shall be made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the offices of Wilmer Cutler Pickering Hale and Dorr LLP (or such other place as may be agreed to by the Company and the Representatives) at 9:00 a.m. New York City time, on February 14, 2020, or such other time and date not later than 1:30 p.m. New York City time, on February 28, 2020 as the Representatives shall designate by notice to the Company (the time and date of such closing are called the “</w:t>
      </w:r>
      <w:r>
        <w:rPr>
          <w:rFonts w:ascii="Arial" w:cs="Arial" w:eastAsia="Arial" w:hAnsi="Arial"/>
          <w:sz w:val="17"/>
          <w:szCs w:val="17"/>
          <w:b w:val="1"/>
          <w:bCs w:val="1"/>
          <w:color w:val="auto"/>
        </w:rPr>
        <w:t>First Closing Date</w:t>
      </w:r>
      <w:r>
        <w:rPr>
          <w:rFonts w:ascii="Arial" w:cs="Arial" w:eastAsia="Arial" w:hAnsi="Arial"/>
          <w:sz w:val="17"/>
          <w:szCs w:val="17"/>
          <w:color w:val="auto"/>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w:t>
      </w:r>
    </w:p>
    <w:p>
      <w:pPr>
        <w:spacing w:after="0" w:line="64" w:lineRule="exact"/>
        <w:rPr>
          <w:rFonts w:ascii="Arial" w:cs="Arial" w:eastAsia="Arial" w:hAnsi="Arial"/>
          <w:sz w:val="17"/>
          <w:szCs w:val="17"/>
          <w:b w:val="1"/>
          <w:bCs w:val="1"/>
          <w:color w:val="auto"/>
        </w:rPr>
      </w:pPr>
    </w:p>
    <w:p>
      <w:pPr>
        <w:ind w:right="20" w:firstLine="444"/>
        <w:spacing w:after="0" w:line="303" w:lineRule="auto"/>
        <w:tabs>
          <w:tab w:leader="none" w:pos="685"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Optional Shares; Option Closing Date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on the basis of the representations, warranties and agreements herein contained,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terms but subject to the conditions herein set forth, the Company hereby grants an option to the several Underwriters to purchase, severally and not jointly, up to an aggregate of 1,350,000 Optional Shares from the Company at the purchase price per share to be paid by the Underwriters for the Firm Shares, less an amount per share equal to any dividend or distribution declared by the Company and payable on the Firm Shares but not payable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8" w:name="page19"/>
    <w:bookmarkEnd w:id="18"/>
    <w:p>
      <w:pPr>
        <w:ind w:right="4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Optional Shares. The option granted hereunder may be exercised at any time and from time to time in whole or in part upon notice by the Representatives to the Company, which notice may be given at any time within 30 days from the date of this Agreement. Such notice shall set forth</w:t>
      </w:r>
    </w:p>
    <w:p>
      <w:pPr>
        <w:ind w:right="100" w:firstLine="4"/>
        <w:spacing w:after="0" w:line="268" w:lineRule="auto"/>
        <w:tabs>
          <w:tab w:leader="none" w:pos="2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aggregate number of Optional Shares as to which the Underwriters are exercising the option and (ii) the time, date and place at which certificates for the Optional Shares will be delivered (which time and date may be simultaneous with, but not earlier than, the First Closing Date; and in the event that such time and date are simultaneous with the First Closing Date, the term “</w:t>
      </w:r>
      <w:r>
        <w:rPr>
          <w:rFonts w:ascii="Arial" w:cs="Arial" w:eastAsia="Arial" w:hAnsi="Arial"/>
          <w:sz w:val="17"/>
          <w:szCs w:val="17"/>
          <w:b w:val="1"/>
          <w:bCs w:val="1"/>
          <w:color w:val="auto"/>
        </w:rPr>
        <w:t>First Closing Date</w:t>
      </w:r>
      <w:r>
        <w:rPr>
          <w:rFonts w:ascii="Arial" w:cs="Arial" w:eastAsia="Arial" w:hAnsi="Arial"/>
          <w:sz w:val="17"/>
          <w:szCs w:val="17"/>
          <w:color w:val="auto"/>
        </w:rPr>
        <w:t>” shall refer to the time and date of delivery of certificates for the Firm Shares and such Optional Shares). Any such time and date of delivery, if subsequent to the First Closing Date, is called an “</w:t>
      </w:r>
      <w:r>
        <w:rPr>
          <w:rFonts w:ascii="Arial" w:cs="Arial" w:eastAsia="Arial" w:hAnsi="Arial"/>
          <w:sz w:val="17"/>
          <w:szCs w:val="17"/>
          <w:b w:val="1"/>
          <w:bCs w:val="1"/>
          <w:color w:val="auto"/>
        </w:rPr>
        <w:t>Option Closing Date</w:t>
      </w:r>
      <w:r>
        <w:rPr>
          <w:rFonts w:ascii="Arial" w:cs="Arial" w:eastAsia="Arial" w:hAnsi="Arial"/>
          <w:sz w:val="17"/>
          <w:szCs w:val="17"/>
          <w:color w:val="auto"/>
        </w:rPr>
        <w:t xml:space="preserve">,” shall be determined by the Representatives and shall not be earlier than three or later than five full business days after delivery of such notice of exercise. If any Optional Shares are to be purchased, 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Shares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opposite the name of such Underwriter bears to the total number of Firm Shares. The Representatives may cancel the option at any time prior to its expiration by giving written notice of such cancellation to the Company.</w:t>
      </w:r>
    </w:p>
    <w:p>
      <w:pPr>
        <w:spacing w:after="0" w:line="67" w:lineRule="exact"/>
        <w:rPr>
          <w:rFonts w:ascii="Arial" w:cs="Arial" w:eastAsia="Arial" w:hAnsi="Arial"/>
          <w:sz w:val="17"/>
          <w:szCs w:val="17"/>
          <w:color w:val="auto"/>
        </w:rPr>
      </w:pPr>
    </w:p>
    <w:p>
      <w:pPr>
        <w:ind w:right="240" w:firstLine="444"/>
        <w:spacing w:after="0" w:line="261" w:lineRule="auto"/>
        <w:tabs>
          <w:tab w:leader="none" w:pos="706"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Public Offering of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Representatives hereby advise the Company that the Underwriters intend to offer for sale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initially on the terms set forth in the Registration Statement, the Time of Sale Prospectus and the Prospectus, their respective portions of the Offered Shares as soon after this Agreement has been executed as the Representatives, in their sole judgment, have determined is advisable and practicable.</w:t>
      </w:r>
    </w:p>
    <w:p>
      <w:pPr>
        <w:spacing w:after="0" w:line="71" w:lineRule="exact"/>
        <w:rPr>
          <w:rFonts w:ascii="Arial" w:cs="Arial" w:eastAsia="Arial" w:hAnsi="Arial"/>
          <w:sz w:val="18"/>
          <w:szCs w:val="18"/>
          <w:b w:val="1"/>
          <w:bCs w:val="1"/>
          <w:color w:val="auto"/>
        </w:rPr>
      </w:pPr>
    </w:p>
    <w:p>
      <w:pPr>
        <w:ind w:right="60" w:firstLine="444"/>
        <w:spacing w:after="0" w:line="282" w:lineRule="auto"/>
        <w:tabs>
          <w:tab w:leader="none" w:pos="685"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Payment for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 Payment for the Offered Shares shall be made at the First Closing Date (and, if applicable, at each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Closing Date) by wire transfer of immediately available funds to the order of the Company.</w:t>
      </w:r>
    </w:p>
    <w:p>
      <w:pPr>
        <w:spacing w:after="0" w:line="57" w:lineRule="exact"/>
        <w:rPr>
          <w:rFonts w:ascii="Arial" w:cs="Arial" w:eastAsia="Arial" w:hAnsi="Arial"/>
          <w:sz w:val="18"/>
          <w:szCs w:val="18"/>
          <w:b w:val="1"/>
          <w:bCs w:val="1"/>
          <w:color w:val="auto"/>
        </w:rPr>
      </w:pPr>
    </w:p>
    <w:p>
      <w:pPr>
        <w:ind w:firstLine="996"/>
        <w:spacing w:after="0" w:line="255" w:lineRule="auto"/>
        <w:tabs>
          <w:tab w:leader="none" w:pos="1257" w:val="left"/>
        </w:tabs>
        <w:numPr>
          <w:ilvl w:val="2"/>
          <w:numId w:val="17"/>
        </w:numPr>
        <w:rPr>
          <w:rFonts w:ascii="Arial" w:cs="Arial" w:eastAsia="Arial" w:hAnsi="Arial"/>
          <w:sz w:val="18"/>
          <w:szCs w:val="18"/>
          <w:color w:val="auto"/>
        </w:rPr>
      </w:pPr>
      <w:r>
        <w:rPr>
          <w:rFonts w:ascii="Arial" w:cs="Arial" w:eastAsia="Arial" w:hAnsi="Arial"/>
          <w:sz w:val="18"/>
          <w:szCs w:val="18"/>
          <w:color w:val="auto"/>
        </w:rPr>
        <w:t>It is understood that the Representatives have been authorized, for their own account and the accounts of the several Underwriters, to accept delivery of and receipt for, and make payment of the purchase price for, the Firm Shares and any Optional Shares the Underwriters have agreed to purchase. Each of Jefferies and Piper, individually and not as the Representatives of the Underwriters, may (but shall not be obligated to) make payment for any Offered Shares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spacing w:after="0" w:line="81" w:lineRule="exact"/>
        <w:rPr>
          <w:rFonts w:ascii="Arial" w:cs="Arial" w:eastAsia="Arial" w:hAnsi="Arial"/>
          <w:sz w:val="18"/>
          <w:szCs w:val="18"/>
          <w:color w:val="auto"/>
        </w:rPr>
      </w:pPr>
    </w:p>
    <w:p>
      <w:pPr>
        <w:ind w:right="60" w:firstLine="444"/>
        <w:spacing w:after="0" w:line="289" w:lineRule="auto"/>
        <w:tabs>
          <w:tab w:leader="none" w:pos="665" w:val="left"/>
        </w:tabs>
        <w:numPr>
          <w:ilvl w:val="1"/>
          <w:numId w:val="1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Delivery of the Offered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deliver, or cause to be delivered through the book entry facilities of the Depository Trust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w:t>
      </w:r>
      <w:r>
        <w:rPr>
          <w:rFonts w:ascii="Arial" w:cs="Arial" w:eastAsia="Arial" w:hAnsi="Arial"/>
          <w:sz w:val="16"/>
          <w:szCs w:val="16"/>
          <w:b w:val="1"/>
          <w:bCs w:val="1"/>
          <w:color w:val="auto"/>
        </w:rPr>
        <w:t>DTC</w:t>
      </w:r>
      <w:r>
        <w:rPr>
          <w:rFonts w:ascii="Arial" w:cs="Arial" w:eastAsia="Arial" w:hAnsi="Arial"/>
          <w:sz w:val="16"/>
          <w:szCs w:val="16"/>
          <w:color w:val="auto"/>
        </w:rPr>
        <w:t>”) to the Representatives for the accounts of the several Underwriters the Firm Shares at the First Closing Date, against release of a wire transfer of immediately available funds for the amount of the purchase price therefor. The Company shall also deliver, or cause to be delivered, through the book entry facilities of DTC, to the Representatives for the accounts of the several Underwriters, the Optional Shares the Underwriters have agreed to purchase at the First Closing Date or the applicable Option Closing Date, as the case may be, against the release of a wire transfer of immediately available funds for the amount of the purchase price therefor. The Offered Shares shall be delivered to such accounts and in such denominations as the Representatives shall have requested at least two full business days prior to the First Closing Date (or the applicable Option Closing Date, as the case may be) and shall be made available for inspection on the business day preceding the First Closing Date (or the applicable Option Closing Date, as the case may be) at a location in New York City as the Representatives may designate. Time shall be of the essence, and delivery at the time and place specified in this Agreement is a further condition to the obligations of the Underwriters.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9" w:name="page20"/>
    <w:bookmarkEnd w:id="19"/>
    <w:p>
      <w:pPr>
        <w:ind w:lef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 Additional Covenants of the Company.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further covenants and agrees with each Underwriter as follows:</w:t>
      </w:r>
    </w:p>
    <w:p>
      <w:pPr>
        <w:spacing w:after="0" w:line="117" w:lineRule="exact"/>
        <w:rPr>
          <w:sz w:val="20"/>
          <w:szCs w:val="20"/>
          <w:color w:val="auto"/>
        </w:rPr>
      </w:pPr>
    </w:p>
    <w:p>
      <w:pPr>
        <w:ind w:right="20" w:firstLine="444"/>
        <w:spacing w:after="0" w:line="276" w:lineRule="auto"/>
        <w:tabs>
          <w:tab w:leader="none" w:pos="695"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Delivery of Registration Statement, Time of Sale Prospectus and Prospectus. </w:t>
      </w:r>
      <w:r>
        <w:rPr>
          <w:rFonts w:ascii="Arial" w:cs="Arial" w:eastAsia="Arial" w:hAnsi="Arial"/>
          <w:sz w:val="17"/>
          <w:szCs w:val="17"/>
          <w:color w:val="auto"/>
        </w:rPr>
        <w:t>The Company shall furnish to you in New York City, without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charge, prior to 10:00 a.m. New York City time on the business day next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you may reasonably request.</w:t>
      </w:r>
    </w:p>
    <w:p>
      <w:pPr>
        <w:spacing w:after="0" w:line="64" w:lineRule="exact"/>
        <w:rPr>
          <w:rFonts w:ascii="Arial" w:cs="Arial" w:eastAsia="Arial" w:hAnsi="Arial"/>
          <w:sz w:val="17"/>
          <w:szCs w:val="17"/>
          <w:b w:val="1"/>
          <w:bCs w:val="1"/>
          <w:color w:val="auto"/>
        </w:rPr>
      </w:pPr>
    </w:p>
    <w:p>
      <w:pPr>
        <w:ind w:right="20" w:firstLine="444"/>
        <w:spacing w:after="0" w:line="287" w:lineRule="auto"/>
        <w:tabs>
          <w:tab w:leader="none" w:pos="706"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Representatives’ Review of Proposed Amendments and Supplements. </w:t>
      </w:r>
      <w:r>
        <w:rPr>
          <w:rFonts w:ascii="Arial" w:cs="Arial" w:eastAsia="Arial" w:hAnsi="Arial"/>
          <w:sz w:val="16"/>
          <w:szCs w:val="16"/>
          <w:color w:val="auto"/>
        </w:rPr>
        <w:t>During the period when a prospectus relating to the Offered Shares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(including any amendment or supplement through incorporation of any report filed under the Exchange Act) without the Representatives’ prior written consent, which consent shall not be unreasonably withheld. Prior to amending or supplementing any preliminary prospectus, the Time of Sale Prospectus or the Prospectus (including any amendment or supplement through incorporation of any report filed under the Exchange Act),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consent shall not be unreasonably withheld. The Company shall file with the Commission within the applicable period specified in Rule 424(b) under the Securities Act any prospectus required to be filed pursuant to such Rule.</w:t>
      </w:r>
    </w:p>
    <w:p>
      <w:pPr>
        <w:spacing w:after="0" w:line="64" w:lineRule="exact"/>
        <w:rPr>
          <w:rFonts w:ascii="Arial" w:cs="Arial" w:eastAsia="Arial" w:hAnsi="Arial"/>
          <w:sz w:val="16"/>
          <w:szCs w:val="16"/>
          <w:b w:val="1"/>
          <w:bCs w:val="1"/>
          <w:color w:val="auto"/>
        </w:rPr>
      </w:pPr>
    </w:p>
    <w:p>
      <w:pPr>
        <w:ind w:firstLine="444"/>
        <w:spacing w:after="0" w:line="285" w:lineRule="auto"/>
        <w:tabs>
          <w:tab w:leader="none" w:pos="685"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Free Writing Prospectuses. </w:t>
      </w:r>
      <w:r>
        <w:rPr>
          <w:rFonts w:ascii="Arial" w:cs="Arial" w:eastAsia="Arial" w:hAnsi="Arial"/>
          <w:sz w:val="16"/>
          <w:szCs w:val="16"/>
          <w:color w:val="auto"/>
        </w:rPr>
        <w:t>The Company shall furnish to the Representatives for review, a reasonable amount of time prior to the proposed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consent shall not be unreasonably withheld.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consent shall not be unreasonably withheld.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0" w:right="439" w:bottom="1440" w:gutter="0" w:footer="0" w:header="0"/>
        </w:sectPr>
      </w:pPr>
    </w:p>
    <w:bookmarkStart w:id="20" w:name="page21"/>
    <w:bookmarkEnd w:id="20"/>
    <w:p>
      <w:pPr>
        <w:ind w:left="-20" w:firstLine="444"/>
        <w:spacing w:after="0" w:line="264" w:lineRule="auto"/>
        <w:tabs>
          <w:tab w:leader="none" w:pos="68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Filing of Underwriter Free Writing Prospectuses. </w:t>
      </w:r>
      <w:r>
        <w:rPr>
          <w:rFonts w:ascii="Arial" w:cs="Arial" w:eastAsia="Arial" w:hAnsi="Arial"/>
          <w:sz w:val="18"/>
          <w:szCs w:val="18"/>
          <w:color w:val="auto"/>
        </w:rPr>
        <w:t>The Company shall not take any action that would result in an Underwriter or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being required to file with the Commission pursuant to Rule 433(d) under the Securities Act a free writing prospectus prepared by or on behalf of such Underwriter that such Underwriter otherwise would not have been required to file thereunder.</w:t>
      </w:r>
    </w:p>
    <w:p>
      <w:pPr>
        <w:spacing w:after="0" w:line="73" w:lineRule="exact"/>
        <w:rPr>
          <w:rFonts w:ascii="Arial" w:cs="Arial" w:eastAsia="Arial" w:hAnsi="Arial"/>
          <w:sz w:val="18"/>
          <w:szCs w:val="18"/>
          <w:b w:val="1"/>
          <w:bCs w:val="1"/>
          <w:color w:val="auto"/>
        </w:rPr>
      </w:pPr>
    </w:p>
    <w:p>
      <w:pPr>
        <w:ind w:left="-20" w:right="80" w:firstLine="444"/>
        <w:spacing w:after="0" w:line="287" w:lineRule="auto"/>
        <w:tabs>
          <w:tab w:leader="none" w:pos="665"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Amendments and Supplements to Time of Sale Prospectus. </w:t>
      </w:r>
      <w:r>
        <w:rPr>
          <w:rFonts w:ascii="Arial" w:cs="Arial" w:eastAsia="Arial" w:hAnsi="Arial"/>
          <w:sz w:val="16"/>
          <w:szCs w:val="16"/>
          <w:color w:val="auto"/>
        </w:rPr>
        <w:t>If the Time of Sale Prospectus is being used to solicit offers to buy the Offered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56" w:lineRule="exact"/>
        <w:rPr>
          <w:rFonts w:ascii="Arial" w:cs="Arial" w:eastAsia="Arial" w:hAnsi="Arial"/>
          <w:sz w:val="16"/>
          <w:szCs w:val="16"/>
          <w:b w:val="1"/>
          <w:bCs w:val="1"/>
          <w:color w:val="auto"/>
        </w:rPr>
      </w:pPr>
    </w:p>
    <w:p>
      <w:pPr>
        <w:ind w:left="-20" w:right="20" w:firstLine="444"/>
        <w:spacing w:after="0" w:line="269" w:lineRule="auto"/>
        <w:tabs>
          <w:tab w:leader="none" w:pos="645"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Certain Notifications and Required Actions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After the date of this Agreement, the Company shall promptly advise the Representatives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practicable.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w:t>
      </w:r>
    </w:p>
    <w:p>
      <w:pPr>
        <w:spacing w:after="0" w:line="72" w:lineRule="exact"/>
        <w:rPr>
          <w:rFonts w:ascii="Arial" w:cs="Arial" w:eastAsia="Arial" w:hAnsi="Arial"/>
          <w:sz w:val="17"/>
          <w:szCs w:val="17"/>
          <w:b w:val="1"/>
          <w:bCs w:val="1"/>
          <w:color w:val="auto"/>
        </w:rPr>
      </w:pPr>
    </w:p>
    <w:p>
      <w:pPr>
        <w:ind w:left="-20" w:right="20" w:firstLine="444"/>
        <w:spacing w:after="0" w:line="286" w:lineRule="auto"/>
        <w:tabs>
          <w:tab w:leader="none" w:pos="675"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Amendments and Supplements to the Prospectus and Other Securities Act Matters. </w:t>
      </w:r>
      <w:r>
        <w:rPr>
          <w:rFonts w:ascii="Arial" w:cs="Arial" w:eastAsia="Arial" w:hAnsi="Arial"/>
          <w:sz w:val="17"/>
          <w:szCs w:val="17"/>
          <w:color w:val="auto"/>
        </w:rPr>
        <w:t>During the Prospectus Delivery Period, if any event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occur or condition exist as a result of which it is necessary to amend or supplement the Prospectus so that the Prospectus does not include an untrue statement of a material fact or omit to state a material fact necessary in order to make the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60" w:top="274" w:right="439" w:bottom="1440" w:gutter="0" w:footer="0" w:header="0"/>
        </w:sectPr>
      </w:pPr>
    </w:p>
    <w:bookmarkStart w:id="21" w:name="page22"/>
    <w:bookmarkEnd w:id="21"/>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 As used herein, the term “</w:t>
      </w:r>
      <w:r>
        <w:rPr>
          <w:rFonts w:ascii="Arial" w:cs="Arial" w:eastAsia="Arial" w:hAnsi="Arial"/>
          <w:sz w:val="17"/>
          <w:szCs w:val="17"/>
          <w:b w:val="1"/>
          <w:bCs w:val="1"/>
          <w:color w:val="auto"/>
        </w:rPr>
        <w:t>Prospectus Delivery Period</w:t>
      </w:r>
      <w:r>
        <w:rPr>
          <w:rFonts w:ascii="Arial" w:cs="Arial" w:eastAsia="Arial" w:hAnsi="Arial"/>
          <w:sz w:val="17"/>
          <w:szCs w:val="17"/>
          <w:color w:val="auto"/>
        </w:rPr>
        <w:t>”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68" w:lineRule="exact"/>
        <w:rPr>
          <w:sz w:val="20"/>
          <w:szCs w:val="20"/>
          <w:color w:val="auto"/>
        </w:rPr>
      </w:pPr>
    </w:p>
    <w:p>
      <w:pPr>
        <w:ind w:right="40" w:firstLine="444"/>
        <w:spacing w:after="0" w:line="271" w:lineRule="auto"/>
        <w:tabs>
          <w:tab w:leader="none" w:pos="706"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Blue Sky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shall cooperate with the Representatives and counsel for the Underwriters to qualify or register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Offered Shares for sale under (or obtain exemptions from the application of) the state securities or blue sky laws or Canadian provincial securities laws (or other foreign laws) of those jurisdictions designated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practicable.</w:t>
      </w:r>
    </w:p>
    <w:p>
      <w:pPr>
        <w:spacing w:after="0" w:line="66" w:lineRule="exact"/>
        <w:rPr>
          <w:rFonts w:ascii="Arial" w:cs="Arial" w:eastAsia="Arial" w:hAnsi="Arial"/>
          <w:sz w:val="17"/>
          <w:szCs w:val="17"/>
          <w:b w:val="1"/>
          <w:bCs w:val="1"/>
          <w:color w:val="auto"/>
        </w:rPr>
      </w:pPr>
    </w:p>
    <w:p>
      <w:pPr>
        <w:ind w:right="240" w:firstLine="444"/>
        <w:spacing w:after="0" w:line="282" w:lineRule="auto"/>
        <w:tabs>
          <w:tab w:leader="none" w:pos="65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Proceeds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apply the net proceeds from the sale of the Offered Shares sold by it in the manner described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caption “Use of Proceeds” in the Registration Statement, the Time of Sale Prospectus and the Prospectus.</w:t>
      </w:r>
    </w:p>
    <w:p>
      <w:pPr>
        <w:spacing w:after="0" w:line="53" w:lineRule="exact"/>
        <w:rPr>
          <w:rFonts w:ascii="Arial" w:cs="Arial" w:eastAsia="Arial" w:hAnsi="Arial"/>
          <w:sz w:val="18"/>
          <w:szCs w:val="18"/>
          <w:b w:val="1"/>
          <w:bCs w:val="1"/>
          <w:color w:val="auto"/>
        </w:rPr>
      </w:pPr>
    </w:p>
    <w:p>
      <w:pPr>
        <w:ind w:left="660" w:hanging="21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Transfer Agent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engage and maintain, at its expense, a registrar and transfer agent for the Shares.</w:t>
      </w:r>
    </w:p>
    <w:p>
      <w:pPr>
        <w:spacing w:after="0" w:line="117" w:lineRule="exact"/>
        <w:rPr>
          <w:rFonts w:ascii="Arial" w:cs="Arial" w:eastAsia="Arial" w:hAnsi="Arial"/>
          <w:sz w:val="18"/>
          <w:szCs w:val="18"/>
          <w:b w:val="1"/>
          <w:bCs w:val="1"/>
          <w:color w:val="auto"/>
        </w:rPr>
      </w:pPr>
    </w:p>
    <w:p>
      <w:pPr>
        <w:ind w:right="200" w:firstLine="444"/>
        <w:spacing w:after="0" w:line="281" w:lineRule="auto"/>
        <w:tabs>
          <w:tab w:leader="none" w:pos="706"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Earnings Statement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will make generally available to its security holders and to the Representatives as soon as practicable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 which requirement may be satisfied by publicly filing the required information on EDGAR.</w:t>
      </w:r>
    </w:p>
    <w:p>
      <w:pPr>
        <w:spacing w:after="0" w:line="56" w:lineRule="exact"/>
        <w:rPr>
          <w:rFonts w:ascii="Arial" w:cs="Arial" w:eastAsia="Arial" w:hAnsi="Arial"/>
          <w:sz w:val="17"/>
          <w:szCs w:val="17"/>
          <w:b w:val="1"/>
          <w:bCs w:val="1"/>
          <w:color w:val="auto"/>
        </w:rPr>
      </w:pPr>
    </w:p>
    <w:p>
      <w:pPr>
        <w:ind w:firstLine="444"/>
        <w:spacing w:after="0" w:line="298" w:lineRule="auto"/>
        <w:tabs>
          <w:tab w:leader="none" w:pos="655"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Continued Compliance with Securities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comply with the Securities Act and the Exchange Act so as to permit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completion of the distribution of the Offered Shares as contemplated by this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the Nasdaq all reports and documents required to be filed under the Exchange Act.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2" w:name="page23"/>
    <w:bookmarkEnd w:id="22"/>
    <w:p>
      <w:pPr>
        <w:ind w:left="756" w:hanging="316"/>
        <w:spacing w:after="0"/>
        <w:tabs>
          <w:tab w:leader="none" w:pos="756"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use its best efforts to list, subject to notice of issuance, the Offered Shares on the Nasdaq.</w:t>
      </w:r>
    </w:p>
    <w:p>
      <w:pPr>
        <w:spacing w:after="0" w:line="117" w:lineRule="exact"/>
        <w:rPr>
          <w:rFonts w:ascii="Arial" w:cs="Arial" w:eastAsia="Arial" w:hAnsi="Arial"/>
          <w:sz w:val="18"/>
          <w:szCs w:val="18"/>
          <w:b w:val="1"/>
          <w:bCs w:val="1"/>
          <w:color w:val="auto"/>
        </w:rPr>
      </w:pPr>
    </w:p>
    <w:p>
      <w:pPr>
        <w:ind w:left="-4" w:firstLine="444"/>
        <w:spacing w:after="0" w:line="286" w:lineRule="auto"/>
        <w:tabs>
          <w:tab w:leader="none" w:pos="702" w:val="left"/>
        </w:tabs>
        <w:numPr>
          <w:ilvl w:val="1"/>
          <w:numId w:val="2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Company to Provide Copy of the Prospectus in Form That May be Downloaded from the Internet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requested by the Representatives,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shall cause to be prepared and delivered, at its expense, within the time period a Prospectus is required by the rules of the Commission to be filed, to the Representatives or any other Underwriter with the consent of the Representatives, an “</w:t>
      </w:r>
      <w:r>
        <w:rPr>
          <w:rFonts w:ascii="Arial" w:cs="Arial" w:eastAsia="Arial" w:hAnsi="Arial"/>
          <w:sz w:val="16"/>
          <w:szCs w:val="16"/>
          <w:b w:val="1"/>
          <w:bCs w:val="1"/>
          <w:color w:val="auto"/>
        </w:rPr>
        <w:t>electronic Prospectus</w:t>
      </w:r>
      <w:r>
        <w:rPr>
          <w:rFonts w:ascii="Arial" w:cs="Arial" w:eastAsia="Arial" w:hAnsi="Arial"/>
          <w:sz w:val="16"/>
          <w:szCs w:val="16"/>
          <w:color w:val="auto"/>
        </w:rPr>
        <w:t>” to be used by the Underwriters in connection with the offering and sale of the Offered Shares. As used herein, the term “</w:t>
      </w:r>
      <w:r>
        <w:rPr>
          <w:rFonts w:ascii="Arial" w:cs="Arial" w:eastAsia="Arial" w:hAnsi="Arial"/>
          <w:sz w:val="16"/>
          <w:szCs w:val="16"/>
          <w:b w:val="1"/>
          <w:bCs w:val="1"/>
          <w:color w:val="auto"/>
        </w:rPr>
        <w:t>electronic Prospectus</w:t>
      </w:r>
      <w:r>
        <w:rPr>
          <w:rFonts w:ascii="Arial" w:cs="Arial" w:eastAsia="Arial" w:hAnsi="Arial"/>
          <w:sz w:val="16"/>
          <w:szCs w:val="16"/>
          <w:color w:val="auto"/>
        </w:rPr>
        <w:t>” means a form of Time of Sale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Shares; (ii) it shall disclose the same information as the paper Time of Sale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Representatives, that will allow investors to store and have continuously ready access to the Time of Sale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Time of Sale Prospectus.</w:t>
      </w:r>
    </w:p>
    <w:p>
      <w:pPr>
        <w:spacing w:after="0" w:line="63" w:lineRule="exact"/>
        <w:rPr>
          <w:rFonts w:ascii="Arial" w:cs="Arial" w:eastAsia="Arial" w:hAnsi="Arial"/>
          <w:sz w:val="16"/>
          <w:szCs w:val="16"/>
          <w:b w:val="1"/>
          <w:bCs w:val="1"/>
          <w:color w:val="auto"/>
        </w:rPr>
      </w:pPr>
    </w:p>
    <w:p>
      <w:pPr>
        <w:ind w:left="-4" w:right="20" w:firstLine="444"/>
        <w:spacing w:after="0" w:line="285" w:lineRule="auto"/>
        <w:tabs>
          <w:tab w:leader="none" w:pos="692" w:val="left"/>
        </w:tabs>
        <w:numPr>
          <w:ilvl w:val="1"/>
          <w:numId w:val="2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Agreement Not to Offer or Sell Additional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period commencing on and including the date hereof and continuing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including the 90</w:t>
      </w:r>
      <w:r>
        <w:rPr>
          <w:rFonts w:ascii="Arial" w:cs="Arial" w:eastAsia="Arial" w:hAnsi="Arial"/>
          <w:sz w:val="13"/>
          <w:szCs w:val="13"/>
          <w:color w:val="auto"/>
        </w:rPr>
        <w:t>th</w:t>
      </w:r>
      <w:r>
        <w:rPr>
          <w:rFonts w:ascii="Arial" w:cs="Arial" w:eastAsia="Arial" w:hAnsi="Arial"/>
          <w:sz w:val="16"/>
          <w:szCs w:val="16"/>
          <w:color w:val="auto"/>
        </w:rPr>
        <w:t xml:space="preserve"> day following the date of the Prospectus (such period being referred to herein as the “</w:t>
      </w:r>
      <w:r>
        <w:rPr>
          <w:rFonts w:ascii="Arial" w:cs="Arial" w:eastAsia="Arial" w:hAnsi="Arial"/>
          <w:sz w:val="16"/>
          <w:szCs w:val="16"/>
          <w:b w:val="1"/>
          <w:bCs w:val="1"/>
          <w:color w:val="auto"/>
        </w:rPr>
        <w:t>Lock-up Period</w:t>
      </w:r>
      <w:r>
        <w:rPr>
          <w:rFonts w:ascii="Arial" w:cs="Arial" w:eastAsia="Arial" w:hAnsi="Arial"/>
          <w:sz w:val="16"/>
          <w:szCs w:val="16"/>
          <w:color w:val="auto"/>
        </w:rPr>
        <w:t>”), the Company will not, without the prior written consent of the Representatives (which consent may be withheld in their sole discretion), directly or 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hypothecate or grant any security interest in any Shares or Related Securities;</w:t>
      </w:r>
    </w:p>
    <w:p>
      <w:pPr>
        <w:spacing w:after="0" w:line="3" w:lineRule="exact"/>
        <w:rPr>
          <w:rFonts w:ascii="Arial" w:cs="Arial" w:eastAsia="Arial" w:hAnsi="Arial"/>
          <w:sz w:val="16"/>
          <w:szCs w:val="16"/>
          <w:b w:val="1"/>
          <w:bCs w:val="1"/>
          <w:color w:val="auto"/>
        </w:rPr>
      </w:pPr>
    </w:p>
    <w:p>
      <w:pPr>
        <w:ind w:left="-4" w:firstLine="4"/>
        <w:spacing w:after="0" w:line="281" w:lineRule="auto"/>
        <w:tabs>
          <w:tab w:leader="none" w:pos="301"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any other way transfer or dispose of any Shares or Related Securities; (v) enter into any swap, hedge or similar arrangement or agreement that transfers, in whole or in part, the economic risk of ownership of any Shares or Related Securities, regardless of whether any such transaction is to be settled in securities, in cash or otherwise; (vi) announce the offering of any Shares or Related Securities; (vii) submit or file any registration statement under the Securities Act in respect of any Shares or Related Securities (other than as contemplated by this Agreement with respect to the Offered Shares); (viii) effect a reverse stock split, recapitalization, share consolidation, reclassification or similar transaction affecting the outstanding Shares; or</w:t>
      </w:r>
    </w:p>
    <w:p>
      <w:pPr>
        <w:spacing w:after="0" w:line="3" w:lineRule="exact"/>
        <w:rPr>
          <w:rFonts w:ascii="Arial" w:cs="Arial" w:eastAsia="Arial" w:hAnsi="Arial"/>
          <w:sz w:val="16"/>
          <w:szCs w:val="16"/>
          <w:color w:val="auto"/>
        </w:rPr>
      </w:pPr>
    </w:p>
    <w:p>
      <w:pPr>
        <w:ind w:left="-4" w:right="200" w:firstLine="4"/>
        <w:spacing w:after="0" w:line="292" w:lineRule="auto"/>
        <w:tabs>
          <w:tab w:leader="none" w:pos="301"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publicly announce the intention to do any of the foregoing;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may (A) effect the transactions contemplated hereby, (B) issue Shares or options to purchase Shares, or issue Shares upon exercise of options or warrants, pursuant to any stock option, warrants, stock bonus or other stock plan or arrangement described in the Registration Statement, the Time of Sale Prospectus and the Prospectus, provided the recipients thereof provide to the Representatives a signed Lock-Up Agreement substantially in the form of Exhibit C hereto, (C) file a registration statement on Form S-8 with respect to any securities issued or issuable pursuant to any stock option, stock bonus or other</w:t>
      </w:r>
    </w:p>
    <w:p>
      <w:pPr>
        <w:spacing w:after="0" w:line="95"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56"/>
          </w:cols>
          <w:pgMar w:left="444" w:top="270" w:right="499" w:bottom="1440" w:gutter="0" w:footer="0" w:header="0"/>
        </w:sectPr>
      </w:pPr>
    </w:p>
    <w:bookmarkStart w:id="23" w:name="page24"/>
    <w:bookmarkEnd w:id="2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plan or arrangement described in the Registration Statement, the Time of Sale Prospectus and the Prospectus, (D) assist any stockholder of the Company in the establishment of a trading plan by such stockholder pursuant to Rule 10b5-1 under the Exchange Act for the transfer of shares of Common Stock; provided (x) that such plan does not provide for the transfer of shares of Common Stock during the Lock-up Period, (y) the establishment of such plan does not require or otherwise result in any public filing or other public announcement of such plan during such Lock-up Period and (z) such plan is otherwise permitted to be implemented during the Lock-up Period pursuant to the terms of the lock-up agreement between such stockholder and the Underwriters in connection with the offering of the Offered Shares, (E) issue shares of Common Stock in connection with the acquisition by the Company of the securities, business, property or other assets of another person or business entity or pursuant to any employee benefit plan assumed by the Company in connection with any such acquisition or (F) issue shares of Common Stock, warrants, or restricted stock awards or of options to purchase shares of Common Stock, in each case, in connection with joint ventures, commercial relationships, lending relationships or other strategic transactions; provided that, in the case of immediately preceding clauses (E) and (F), (x) the aggregate number of restricted stock awards and shares of Common Stock issued in connection with, or issuable pursuant to the exercise of any options or warrants issued in connection with, all such acquisitions and other transactions does not exceed 5% of the aggregate number of shares of Common Stock outstanding immediately following the offering of the Offered Shares pursuant to this Agreement and (y) the recipients of the shares of Common Stock or Related Securities provide to the Representatives a signed Lock-Up Agreement in the form set forth as Exhibit C hereto. For purposes of the foregoing, “</w:t>
      </w:r>
      <w:r>
        <w:rPr>
          <w:rFonts w:ascii="Arial" w:cs="Arial" w:eastAsia="Arial" w:hAnsi="Arial"/>
          <w:sz w:val="16"/>
          <w:szCs w:val="16"/>
          <w:b w:val="1"/>
          <w:bCs w:val="1"/>
          <w:color w:val="auto"/>
        </w:rPr>
        <w:t>Related Securities</w:t>
      </w:r>
      <w:r>
        <w:rPr>
          <w:rFonts w:ascii="Arial" w:cs="Arial" w:eastAsia="Arial" w:hAnsi="Arial"/>
          <w:sz w:val="16"/>
          <w:szCs w:val="16"/>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70" w:lineRule="exact"/>
        <w:rPr>
          <w:sz w:val="20"/>
          <w:szCs w:val="20"/>
          <w:color w:val="auto"/>
        </w:rPr>
      </w:pPr>
    </w:p>
    <w:p>
      <w:pPr>
        <w:ind w:right="80" w:firstLine="444"/>
        <w:spacing w:after="0" w:line="283" w:lineRule="auto"/>
        <w:tabs>
          <w:tab w:leader="none" w:pos="706"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Future Reports to the Representatives. </w:t>
      </w:r>
      <w:r>
        <w:rPr>
          <w:rFonts w:ascii="Arial" w:cs="Arial" w:eastAsia="Arial" w:hAnsi="Arial"/>
          <w:sz w:val="16"/>
          <w:szCs w:val="16"/>
          <w:color w:val="auto"/>
        </w:rPr>
        <w:t>During the period of five years hereafter for so long as the Company is subject to the reporting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requirements of the Exchange Act during that time, the Company will furnish to the Representatives, c/o Jefferies, at 520 Madison Avenue, New York, New York 10022, Attention: Global Head of Syndicate and c/o Piper, at 800 Nicolette Mall, Minneapolis, Minnesota 55402, Attention: Equity Capital Markets and separately, General Counsel: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or furnishing thereof, copies of each proxy statement, Annual Report on Form 10-K, Quarterly Report on Form 10-Q, Current Report on Form 8-K or other report filed by the Company with the Commission, FINRA or any securities exchange; and (iii) as soon as available, copies of any report or communication of the Company furnished or made available generally to holders of its capital stock;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requirements of this Section 3(p) shall be satisfied to the extent that such reports, statement, communications, financial statements or other documents are available on</w:t>
      </w:r>
    </w:p>
    <w:p>
      <w:pPr>
        <w:spacing w:after="0" w:line="5"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EDGAR.</w:t>
      </w:r>
    </w:p>
    <w:p>
      <w:pPr>
        <w:spacing w:after="0" w:line="98" w:lineRule="exact"/>
        <w:rPr>
          <w:rFonts w:ascii="Arial" w:cs="Arial" w:eastAsia="Arial" w:hAnsi="Arial"/>
          <w:sz w:val="16"/>
          <w:szCs w:val="16"/>
          <w:b w:val="1"/>
          <w:bCs w:val="1"/>
          <w:color w:val="auto"/>
        </w:rPr>
      </w:pPr>
    </w:p>
    <w:p>
      <w:pPr>
        <w:ind w:right="100" w:firstLine="444"/>
        <w:spacing w:after="0" w:line="266" w:lineRule="auto"/>
        <w:tabs>
          <w:tab w:leader="none" w:pos="706"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Investment Limitation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not invest or otherwise use the proceeds received by the Company from its sale of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in such a manner as would require the Company or any of its subsidiaries to register as an investment company under the Investment Company Act.</w:t>
      </w:r>
    </w:p>
    <w:p>
      <w:pPr>
        <w:spacing w:after="0" w:line="68" w:lineRule="exact"/>
        <w:rPr>
          <w:rFonts w:ascii="Arial" w:cs="Arial" w:eastAsia="Arial" w:hAnsi="Arial"/>
          <w:sz w:val="18"/>
          <w:szCs w:val="18"/>
          <w:b w:val="1"/>
          <w:bCs w:val="1"/>
          <w:color w:val="auto"/>
        </w:rPr>
      </w:pPr>
    </w:p>
    <w:p>
      <w:pPr>
        <w:ind w:right="20" w:firstLine="444"/>
        <w:spacing w:after="0" w:line="258" w:lineRule="auto"/>
        <w:tabs>
          <w:tab w:leader="none" w:pos="68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Stabilization or Manipulation; Compliance with Regulation 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not take, and will ensure that no affiliate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will take, directly or indirectly, without giving effect to activities by the Underwriters, any action designed to or that might reasonably be expected to cause or result in stabilization or manipulation of the price of the Shares or any reference security with respect to the Shares, whether to facilitate the sale or resale of the Offered Shares or otherwise, and the Company will, and shall cause each of its affiliates to, comply with all applicable provisions of Regulation M.</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40" w:top="274" w:right="519" w:bottom="1440" w:gutter="0" w:footer="0" w:header="0"/>
        </w:sectPr>
      </w:pPr>
    </w:p>
    <w:bookmarkStart w:id="24" w:name="page25"/>
    <w:bookmarkEnd w:id="24"/>
    <w:p>
      <w:pPr>
        <w:ind w:right="80" w:firstLine="444"/>
        <w:spacing w:after="0" w:line="298" w:lineRule="auto"/>
        <w:tabs>
          <w:tab w:leader="none" w:pos="676"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Enforce Lock-Up Agreements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Lock-up Period, the Company will enforce all agreements between the Company and any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security holders that restrict or prohibit, expressly or in operation, the offer, sale or transfer of Shares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and directors pursuant to Section 6(i) hereof.</w:t>
      </w:r>
    </w:p>
    <w:p>
      <w:pPr>
        <w:spacing w:after="0" w:line="46" w:lineRule="exact"/>
        <w:rPr>
          <w:rFonts w:ascii="Arial" w:cs="Arial" w:eastAsia="Arial" w:hAnsi="Arial"/>
          <w:sz w:val="16"/>
          <w:szCs w:val="16"/>
          <w:b w:val="1"/>
          <w:bCs w:val="1"/>
          <w:color w:val="auto"/>
        </w:rPr>
      </w:pPr>
    </w:p>
    <w:p>
      <w:pPr>
        <w:ind w:right="260" w:firstLine="444"/>
        <w:spacing w:after="0" w:line="261" w:lineRule="auto"/>
        <w:tabs>
          <w:tab w:leader="none" w:pos="66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 to Provide Interim Financial Statements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First Closing Date and each applicable Option Closing Date,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furnish the Underwriters,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spacing w:after="0" w:line="75" w:lineRule="exact"/>
        <w:rPr>
          <w:rFonts w:ascii="Arial" w:cs="Arial" w:eastAsia="Arial" w:hAnsi="Arial"/>
          <w:sz w:val="18"/>
          <w:szCs w:val="18"/>
          <w:b w:val="1"/>
          <w:bCs w:val="1"/>
          <w:color w:val="auto"/>
        </w:rPr>
      </w:pPr>
    </w:p>
    <w:p>
      <w:pPr>
        <w:ind w:right="20" w:firstLine="444"/>
        <w:spacing w:after="0" w:line="255" w:lineRule="auto"/>
        <w:tabs>
          <w:tab w:leader="none" w:pos="706"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Amendments and Supplements to Permitted Section 5(d)Communications</w:t>
      </w:r>
      <w:r>
        <w:rPr>
          <w:rFonts w:ascii="Arial" w:cs="Arial" w:eastAsia="Arial" w:hAnsi="Arial"/>
          <w:sz w:val="18"/>
          <w:szCs w:val="18"/>
          <w:color w:val="auto"/>
        </w:rPr>
        <w:t>. If at any time following the distribution of any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5(d) Communication, during the Prospectus Delivery Period,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Permitted Section 5(d) Communication to eliminate or correct such untrue statement or omission.</w:t>
      </w:r>
    </w:p>
    <w:p>
      <w:pPr>
        <w:spacing w:after="0" w:line="85" w:lineRule="exact"/>
        <w:rPr>
          <w:rFonts w:ascii="Arial" w:cs="Arial" w:eastAsia="Arial" w:hAnsi="Arial"/>
          <w:sz w:val="18"/>
          <w:szCs w:val="18"/>
          <w:b w:val="1"/>
          <w:bCs w:val="1"/>
          <w:color w:val="auto"/>
        </w:rPr>
      </w:pPr>
    </w:p>
    <w:p>
      <w:pPr>
        <w:ind w:firstLine="444"/>
        <w:spacing w:after="0" w:line="259" w:lineRule="auto"/>
        <w:tabs>
          <w:tab w:leader="none" w:pos="69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Emerging Growth Company Status</w:t>
      </w:r>
      <w:r>
        <w:rPr>
          <w:rFonts w:ascii="Arial" w:cs="Arial" w:eastAsia="Arial" w:hAnsi="Arial"/>
          <w:sz w:val="18"/>
          <w:szCs w:val="18"/>
          <w:color w:val="auto"/>
        </w:rPr>
        <w:t>. The Company will promptly notify the Representatives if the Company ceases to be an Emerging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at any time prior to the later of (i) the time when a prospectus relating to the Offered Shares is not required by the Securities Act to be delivered (whether physically or through compliance with Rule 172 under the Securities Act or any similar rule) and (ii) the expiration of the Lock-Up Period (as defined herein).</w:t>
      </w:r>
    </w:p>
    <w:p>
      <w:pPr>
        <w:spacing w:after="0" w:line="187"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Representatives, on behalf of the several Underwriters, may, in their sole discretion, waive in writing the performance by the Company of any one or more of the foregoing covenants or extend the time for their performance.</w:t>
      </w:r>
    </w:p>
    <w:p>
      <w:pPr>
        <w:spacing w:after="0" w:line="166" w:lineRule="exact"/>
        <w:rPr>
          <w:sz w:val="20"/>
          <w:szCs w:val="20"/>
          <w:color w:val="auto"/>
        </w:rPr>
      </w:pPr>
    </w:p>
    <w:p>
      <w:pPr>
        <w:ind w:right="20" w:firstLine="992"/>
        <w:spacing w:after="0" w:line="287" w:lineRule="auto"/>
        <w:rPr>
          <w:sz w:val="20"/>
          <w:szCs w:val="20"/>
          <w:color w:val="auto"/>
        </w:rPr>
      </w:pPr>
      <w:r>
        <w:rPr>
          <w:rFonts w:ascii="Arial" w:cs="Arial" w:eastAsia="Arial" w:hAnsi="Arial"/>
          <w:sz w:val="16"/>
          <w:szCs w:val="16"/>
          <w:b w:val="1"/>
          <w:bCs w:val="1"/>
          <w:color w:val="auto"/>
        </w:rPr>
        <w:t xml:space="preserve">Section 4. Payment of Expenses. </w:t>
      </w:r>
      <w:r>
        <w:rPr>
          <w:rFonts w:ascii="Arial" w:cs="Arial" w:eastAsia="Arial" w:hAnsi="Arial"/>
          <w:sz w:val="16"/>
          <w:szCs w:val="16"/>
          <w:color w:val="auto"/>
        </w:rPr>
        <w:t>The Company agrees to pay all costs, fees and expenses incurred in connection with the performance of</w:t>
      </w:r>
      <w:r>
        <w:rPr>
          <w:rFonts w:ascii="Arial" w:cs="Arial" w:eastAsia="Arial" w:hAnsi="Arial"/>
          <w:sz w:val="16"/>
          <w:szCs w:val="16"/>
          <w:b w:val="1"/>
          <w:bCs w:val="1"/>
          <w:color w:val="auto"/>
        </w:rPr>
        <w:t xml:space="preserve"> </w:t>
      </w:r>
      <w:r>
        <w:rPr>
          <w:rFonts w:ascii="Arial" w:cs="Arial" w:eastAsia="Arial" w:hAnsi="Arial"/>
          <w:sz w:val="16"/>
          <w:szCs w:val="16"/>
          <w:color w:val="auto"/>
        </w:rPr>
        <w:t>its obligations hereunder and in connection with the transactions contemplated hereby, including without limitation (i) all expenses incident to the issuance and delivery of the Offered Shares (including all printing and engraving costs), (ii) all fees and expenses of the registrar and transfer agent of the Shares, (iii) all necessary issue, transfer and other stamp taxes in connection with the issuance and sale of the Offered Shares to the Underwriters,</w:t>
      </w:r>
    </w:p>
    <w:p>
      <w:pPr>
        <w:spacing w:after="0" w:line="3" w:lineRule="exact"/>
        <w:rPr>
          <w:sz w:val="20"/>
          <w:szCs w:val="20"/>
          <w:color w:val="auto"/>
        </w:rPr>
      </w:pPr>
    </w:p>
    <w:p>
      <w:pPr>
        <w:ind w:right="140" w:firstLine="4"/>
        <w:spacing w:after="0" w:line="290" w:lineRule="auto"/>
        <w:tabs>
          <w:tab w:leader="none" w:pos="30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each Permitted Section 5(d) Communication, and all amendments and supplements thereto, and this Agreement, (vi) all filing fees, reasonable and documented attorneys’ fees and expenses incurred by the Company or the Underwriters in connection with qualifying or registering (or obtaining exemptions from the qualification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25" w:name="page26"/>
    <w:bookmarkEnd w:id="25"/>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registration of) all or any part of the Offered Shares for offer and sale under the state securities or blue sky laws or the provincial securities laws of Canada, and, if requested by the Representatives, preparing and printing a “Blue Sky Survey” or memorandum and a “Canadian Wrapper”, and any supplements thereto, advising the Underwriters of such qualifications, registrations and exemptions, (vii) the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legal fees of, and disbursements by, counsel to the Underwriters,</w:t>
      </w:r>
    </w:p>
    <w:p>
      <w:pPr>
        <w:spacing w:after="0" w:line="2" w:lineRule="exact"/>
        <w:rPr>
          <w:sz w:val="20"/>
          <w:szCs w:val="20"/>
          <w:color w:val="auto"/>
        </w:rPr>
      </w:pPr>
    </w:p>
    <w:p>
      <w:pPr>
        <w:ind w:right="40" w:firstLine="4"/>
        <w:spacing w:after="0" w:line="268" w:lineRule="auto"/>
        <w:tabs>
          <w:tab w:leader="none" w:pos="40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costs and expenses of the Company relating to investor presentations on any “road show”, any Permitted Section 5(d) Communication or any Section 5(d) Oral Communication undertaken in connection with the offering of the Offered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and 50% of the cost of any aircraft chartered in connection with the road show, with the other 50% being paid by the Underwriters, (ix) the fees and expenses associated with listing the Offered Shares on the Nasdaq, and (x) all other fees, costs and expenses of the nature referred to in Item 13 of Part II of the Registration Statement; provided that the fees and expenses of counsel with respect to clauses (vi) and (vii) above shall not exceed $40,000 in the aggregate. Except as provided in this Section 4 or in Section 7, Section 9 or Section 10 hereof, the Underwriters shall pay their own expenses, including the fees and disbursements of their counsel and their own travel and lodging expenses.</w:t>
      </w:r>
    </w:p>
    <w:p>
      <w:pPr>
        <w:spacing w:after="0" w:line="176" w:lineRule="exact"/>
        <w:rPr>
          <w:sz w:val="20"/>
          <w:szCs w:val="20"/>
          <w:color w:val="auto"/>
        </w:rPr>
      </w:pPr>
    </w:p>
    <w:p>
      <w:pPr>
        <w:jc w:val="both"/>
        <w:ind w:right="40" w:firstLine="992"/>
        <w:spacing w:after="0" w:line="314" w:lineRule="auto"/>
        <w:rPr>
          <w:sz w:val="20"/>
          <w:szCs w:val="20"/>
          <w:color w:val="auto"/>
        </w:rPr>
      </w:pPr>
      <w:r>
        <w:rPr>
          <w:rFonts w:ascii="Arial" w:cs="Arial" w:eastAsia="Arial" w:hAnsi="Arial"/>
          <w:sz w:val="16"/>
          <w:szCs w:val="16"/>
          <w:b w:val="1"/>
          <w:bCs w:val="1"/>
          <w:color w:val="auto"/>
        </w:rPr>
        <w:t xml:space="preserve">Section 5. Covenant of the Underwriters. </w:t>
      </w:r>
      <w:r>
        <w:rPr>
          <w:rFonts w:ascii="Arial" w:cs="Arial" w:eastAsia="Arial" w:hAnsi="Arial"/>
          <w:sz w:val="16"/>
          <w:szCs w:val="16"/>
          <w:color w:val="auto"/>
        </w:rPr>
        <w:t>Each Underwriter severally and not jointly covenants with the Company not to take any action</w:t>
      </w:r>
      <w:r>
        <w:rPr>
          <w:rFonts w:ascii="Arial" w:cs="Arial" w:eastAsia="Arial" w:hAnsi="Arial"/>
          <w:sz w:val="16"/>
          <w:szCs w:val="16"/>
          <w:b w:val="1"/>
          <w:bCs w:val="1"/>
          <w:color w:val="auto"/>
        </w:rPr>
        <w:t xml:space="preserve"> </w:t>
      </w:r>
      <w:r>
        <w:rPr>
          <w:rFonts w:ascii="Arial" w:cs="Arial" w:eastAsia="Arial" w:hAnsi="Arial"/>
          <w:sz w:val="16"/>
          <w:szCs w:val="16"/>
          <w:color w:val="auto"/>
        </w:rPr>
        <w:t>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142" w:lineRule="exact"/>
        <w:rPr>
          <w:sz w:val="20"/>
          <w:szCs w:val="20"/>
          <w:color w:val="auto"/>
        </w:rPr>
      </w:pPr>
    </w:p>
    <w:p>
      <w:pPr>
        <w:ind w:right="80" w:firstLine="992"/>
        <w:spacing w:after="0" w:line="298" w:lineRule="auto"/>
        <w:rPr>
          <w:sz w:val="20"/>
          <w:szCs w:val="20"/>
          <w:color w:val="auto"/>
        </w:rPr>
      </w:pPr>
      <w:r>
        <w:rPr>
          <w:rFonts w:ascii="Arial" w:cs="Arial" w:eastAsia="Arial" w:hAnsi="Arial"/>
          <w:sz w:val="16"/>
          <w:szCs w:val="16"/>
          <w:b w:val="1"/>
          <w:bCs w:val="1"/>
          <w:color w:val="auto"/>
        </w:rPr>
        <w:t xml:space="preserve">Section 6. Conditions of the Obligations of the Underwriters. </w:t>
      </w:r>
      <w:r>
        <w:rPr>
          <w:rFonts w:ascii="Arial" w:cs="Arial" w:eastAsia="Arial" w:hAnsi="Arial"/>
          <w:sz w:val="16"/>
          <w:szCs w:val="16"/>
          <w:color w:val="auto"/>
        </w:rPr>
        <w:t>The respective obligations of the several Underwriters hereunder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and pay for the Offered Shares as provided herein on the First Closing Date and, with respect to the Optional Shares, each Option Closing Date, shall be subject to the accuracy of the representations and warranties on the part of the Company set forth in Section 1 hereof as of the date hereof and as of the First Closing Date as though then made and, with respect to the Optional Shares, as of each Option Closing Date as though then made, to the timely performance by the Company of its covenants and other obligations hereunder, and to each of the following additional conditions:</w:t>
      </w:r>
    </w:p>
    <w:p>
      <w:pPr>
        <w:spacing w:after="0" w:line="46" w:lineRule="exact"/>
        <w:rPr>
          <w:sz w:val="20"/>
          <w:szCs w:val="20"/>
          <w:color w:val="auto"/>
        </w:rPr>
      </w:pPr>
    </w:p>
    <w:p>
      <w:pPr>
        <w:ind w:right="200" w:firstLine="444"/>
        <w:spacing w:after="0" w:line="298" w:lineRule="auto"/>
        <w:tabs>
          <w:tab w:leader="none" w:pos="695"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Comfort Letter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date hereof, the Representatives shall have received from KPMG LLP, independent registered public accountants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spacing w:after="0" w:line="50" w:lineRule="exact"/>
        <w:rPr>
          <w:rFonts w:ascii="Arial" w:cs="Arial" w:eastAsia="Arial" w:hAnsi="Arial"/>
          <w:sz w:val="16"/>
          <w:szCs w:val="16"/>
          <w:b w:val="1"/>
          <w:bCs w:val="1"/>
          <w:color w:val="auto"/>
        </w:rPr>
      </w:pPr>
    </w:p>
    <w:p>
      <w:pPr>
        <w:ind w:left="700" w:hanging="256"/>
        <w:spacing w:after="0"/>
        <w:tabs>
          <w:tab w:leader="none" w:pos="7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Registration Requirements; No Stop Order; No Objection from FINRA.</w:t>
      </w:r>
    </w:p>
    <w:p>
      <w:pPr>
        <w:spacing w:after="0" w:line="117" w:lineRule="exact"/>
        <w:rPr>
          <w:rFonts w:ascii="Arial" w:cs="Arial" w:eastAsia="Arial" w:hAnsi="Arial"/>
          <w:sz w:val="18"/>
          <w:szCs w:val="18"/>
          <w:b w:val="1"/>
          <w:bCs w:val="1"/>
          <w:color w:val="auto"/>
        </w:rPr>
      </w:pPr>
    </w:p>
    <w:p>
      <w:pPr>
        <w:jc w:val="both"/>
        <w:ind w:firstLine="996"/>
        <w:spacing w:after="0" w:line="279" w:lineRule="auto"/>
        <w:tabs>
          <w:tab w:leader="none" w:pos="1207"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Company shall have filed the Prospectus with the Commission (including the information previously omitted from the Registration Statement pursuant to Rule 430B under the Securities Act) in the manner and within the time period required by Rule 424(b) under the Securities Act; or the Company shall have filed a post-effective amendment to the Registration Statement containing the information previously omitted from the Registration Statement pursuant to Rule 430B, and such post-effective amendment shall have become effective.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6" w:name="page27"/>
    <w:bookmarkEnd w:id="26"/>
    <w:p>
      <w:pPr>
        <w:ind w:left="-80" w:right="360" w:firstLine="996"/>
        <w:spacing w:after="0" w:line="264" w:lineRule="auto"/>
        <w:tabs>
          <w:tab w:leader="none" w:pos="1177" w:val="left"/>
        </w:tabs>
        <w:numPr>
          <w:ilvl w:val="1"/>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stop order suspending the effectiveness of the Registration Statement or any post-effective amendment to the Registration Statement shall be in effect, and no proceedings for such purpose shall have been instituted or, to the knowledge of the Company, threatened by the Commission.</w:t>
      </w:r>
    </w:p>
    <w:p>
      <w:pPr>
        <w:spacing w:after="0" w:line="73" w:lineRule="exact"/>
        <w:rPr>
          <w:rFonts w:ascii="Arial" w:cs="Arial" w:eastAsia="Arial" w:hAnsi="Arial"/>
          <w:sz w:val="18"/>
          <w:szCs w:val="18"/>
          <w:color w:val="auto"/>
        </w:rPr>
      </w:pPr>
    </w:p>
    <w:p>
      <w:pPr>
        <w:ind w:left="1240" w:hanging="324"/>
        <w:spacing w:after="0"/>
        <w:tabs>
          <w:tab w:leader="none" w:pos="12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FINRA shall have raised no objection to the fairness and reasonableness of the underwriting terms and arrangements.</w:t>
      </w:r>
    </w:p>
    <w:p>
      <w:pPr>
        <w:spacing w:after="0" w:line="113" w:lineRule="exact"/>
        <w:rPr>
          <w:rFonts w:ascii="Arial" w:cs="Arial" w:eastAsia="Arial" w:hAnsi="Arial"/>
          <w:sz w:val="18"/>
          <w:szCs w:val="18"/>
          <w:color w:val="auto"/>
        </w:rPr>
      </w:pPr>
    </w:p>
    <w:p>
      <w:pPr>
        <w:jc w:val="both"/>
        <w:ind w:left="-80" w:firstLine="444"/>
        <w:spacing w:after="0" w:line="266" w:lineRule="auto"/>
        <w:tabs>
          <w:tab w:leader="none" w:pos="60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Material Adverse Change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period from and after the date of this Agreement and through and including the First Closing Date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any Optional Shares purchased after the First Closing Date, each Option Closing Date, in the judgment of the Representatives there shall not have occurred any Material Adverse Change.</w:t>
      </w:r>
    </w:p>
    <w:p>
      <w:pPr>
        <w:spacing w:after="0" w:line="68" w:lineRule="exact"/>
        <w:rPr>
          <w:rFonts w:ascii="Arial" w:cs="Arial" w:eastAsia="Arial" w:hAnsi="Arial"/>
          <w:sz w:val="18"/>
          <w:szCs w:val="18"/>
          <w:b w:val="1"/>
          <w:bCs w:val="1"/>
          <w:color w:val="auto"/>
        </w:rPr>
      </w:pPr>
    </w:p>
    <w:p>
      <w:pPr>
        <w:ind w:left="-80" w:right="40" w:firstLine="444"/>
        <w:spacing w:after="0" w:line="266" w:lineRule="auto"/>
        <w:tabs>
          <w:tab w:leader="none" w:pos="626"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Counsel for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received the opinion and negative assurance letter of Goodwin Procter LLP, counsel for the Company, dated as of such date,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which opinion shall include opinions with respect to regulatory matters.</w:t>
      </w:r>
    </w:p>
    <w:p>
      <w:pPr>
        <w:spacing w:after="0" w:line="72" w:lineRule="exact"/>
        <w:rPr>
          <w:rFonts w:ascii="Arial" w:cs="Arial" w:eastAsia="Arial" w:hAnsi="Arial"/>
          <w:sz w:val="18"/>
          <w:szCs w:val="18"/>
          <w:b w:val="1"/>
          <w:bCs w:val="1"/>
          <w:color w:val="auto"/>
        </w:rPr>
      </w:pPr>
    </w:p>
    <w:p>
      <w:pPr>
        <w:ind w:left="-80" w:right="540" w:firstLine="444"/>
        <w:spacing w:after="0" w:line="312" w:lineRule="auto"/>
        <w:tabs>
          <w:tab w:leader="none" w:pos="605"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Opinion of Intellectual Property Counsel for the Company. </w:t>
      </w:r>
      <w:r>
        <w:rPr>
          <w:rFonts w:ascii="Arial" w:cs="Arial" w:eastAsia="Arial" w:hAnsi="Arial"/>
          <w:sz w:val="16"/>
          <w:szCs w:val="16"/>
          <w:color w:val="auto"/>
        </w:rPr>
        <w:t>On each of the First Closing Date and each Option Closing Date,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Representatives shall have received the opinion of Norton Rose Fulbright US LLP, counsel for the Company with respect to intellectual property matters, dated as of such date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and to such further effect as the Representatives shall reasonably request.</w:t>
      </w:r>
    </w:p>
    <w:p>
      <w:pPr>
        <w:spacing w:after="0" w:line="34" w:lineRule="exact"/>
        <w:rPr>
          <w:rFonts w:ascii="Arial" w:cs="Arial" w:eastAsia="Arial" w:hAnsi="Arial"/>
          <w:sz w:val="16"/>
          <w:szCs w:val="16"/>
          <w:b w:val="1"/>
          <w:bCs w:val="1"/>
          <w:color w:val="auto"/>
        </w:rPr>
      </w:pPr>
    </w:p>
    <w:p>
      <w:pPr>
        <w:ind w:left="-80" w:right="120" w:firstLine="444"/>
        <w:spacing w:after="0" w:line="261" w:lineRule="auto"/>
        <w:tabs>
          <w:tab w:leader="none" w:pos="58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Counsel for the Underwriters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the opinion and negative assurance letter of Wilmer Cutler Pickering Hale and Dorr LLP, counsel for the Underwriters in connection with the offer and sale of the Offered Shares, in form and substance satisfactory to the Underwriters, dated as of such date, with executed copies for each of the other Underwriters named on the Prospectus cover page.</w:t>
      </w:r>
    </w:p>
    <w:p>
      <w:pPr>
        <w:spacing w:after="0" w:line="71" w:lineRule="exact"/>
        <w:rPr>
          <w:rFonts w:ascii="Arial" w:cs="Arial" w:eastAsia="Arial" w:hAnsi="Arial"/>
          <w:sz w:val="18"/>
          <w:szCs w:val="18"/>
          <w:b w:val="1"/>
          <w:bCs w:val="1"/>
          <w:color w:val="auto"/>
        </w:rPr>
      </w:pPr>
    </w:p>
    <w:p>
      <w:pPr>
        <w:ind w:left="-80" w:right="180" w:firstLine="444"/>
        <w:spacing w:after="0" w:line="289" w:lineRule="auto"/>
        <w:tabs>
          <w:tab w:leader="none" w:pos="615"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Officers’ Certificate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each of the First Closing Date and each Option Closing Date, the Representatives shall have received a certificate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executed by the Chief Executive Officer or President of the Company and the Chief Financial Officer of the Company, on behalf of the Company and not in their individual capacities, dated as of such date, to the effect set forth in Section 6(b)(ii) and further to the effect that:</w:t>
      </w:r>
    </w:p>
    <w:p>
      <w:pPr>
        <w:spacing w:after="0" w:line="54" w:lineRule="exact"/>
        <w:rPr>
          <w:rFonts w:ascii="Arial" w:cs="Arial" w:eastAsia="Arial" w:hAnsi="Arial"/>
          <w:sz w:val="17"/>
          <w:szCs w:val="17"/>
          <w:b w:val="1"/>
          <w:bCs w:val="1"/>
          <w:color w:val="auto"/>
        </w:rPr>
      </w:pPr>
    </w:p>
    <w:p>
      <w:pPr>
        <w:ind w:left="-80" w:right="400" w:firstLine="996"/>
        <w:spacing w:after="0" w:line="277" w:lineRule="auto"/>
        <w:tabs>
          <w:tab w:leader="none" w:pos="1127" w:val="left"/>
        </w:tabs>
        <w:numPr>
          <w:ilvl w:val="1"/>
          <w:numId w:val="30"/>
        </w:numPr>
        <w:rPr>
          <w:rFonts w:ascii="Arial" w:cs="Arial" w:eastAsia="Arial" w:hAnsi="Arial"/>
          <w:sz w:val="18"/>
          <w:szCs w:val="18"/>
          <w:color w:val="auto"/>
        </w:rPr>
      </w:pPr>
      <w:r>
        <w:rPr>
          <w:rFonts w:ascii="Arial" w:cs="Arial" w:eastAsia="Arial" w:hAnsi="Arial"/>
          <w:sz w:val="18"/>
          <w:szCs w:val="18"/>
          <w:color w:val="auto"/>
        </w:rPr>
        <w:t>for the period from and including the date of this Agreement through and including such date, there has not occurred any Material Adverse Change;</w:t>
      </w:r>
    </w:p>
    <w:p>
      <w:pPr>
        <w:spacing w:after="0" w:line="62" w:lineRule="exact"/>
        <w:rPr>
          <w:rFonts w:ascii="Arial" w:cs="Arial" w:eastAsia="Arial" w:hAnsi="Arial"/>
          <w:sz w:val="18"/>
          <w:szCs w:val="18"/>
          <w:color w:val="auto"/>
        </w:rPr>
      </w:pPr>
    </w:p>
    <w:p>
      <w:pPr>
        <w:ind w:left="-80" w:right="280" w:firstLine="996"/>
        <w:spacing w:after="0" w:line="277" w:lineRule="auto"/>
        <w:tabs>
          <w:tab w:leader="none" w:pos="1177"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representations, warranties and covenants of the Company set forth in Section 1 of this Agreement are true and correct with the same force and effect as though expressly made on and as of such date; and</w:t>
      </w:r>
    </w:p>
    <w:p>
      <w:pPr>
        <w:spacing w:after="0" w:line="62" w:lineRule="exact"/>
        <w:rPr>
          <w:rFonts w:ascii="Arial" w:cs="Arial" w:eastAsia="Arial" w:hAnsi="Arial"/>
          <w:sz w:val="18"/>
          <w:szCs w:val="18"/>
          <w:color w:val="auto"/>
        </w:rPr>
      </w:pPr>
    </w:p>
    <w:p>
      <w:pPr>
        <w:ind w:left="-80" w:right="160" w:firstLine="996"/>
        <w:spacing w:after="0" w:line="277" w:lineRule="auto"/>
        <w:tabs>
          <w:tab w:leader="none" w:pos="1227"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has complied with all the agreements hereunder and satisfied all the conditions on its part to be performed or satisfied hereunder at or prior to such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80"/>
          </w:cols>
          <w:pgMar w:left="520" w:top="274" w:right="499" w:bottom="1440" w:gutter="0" w:footer="0" w:header="0"/>
        </w:sectPr>
      </w:pPr>
    </w:p>
    <w:bookmarkStart w:id="27" w:name="page28"/>
    <w:bookmarkEnd w:id="27"/>
    <w:p>
      <w:pPr>
        <w:ind w:right="280" w:firstLine="444"/>
        <w:spacing w:after="0" w:line="298" w:lineRule="auto"/>
        <w:tabs>
          <w:tab w:leader="none" w:pos="706"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Bring-down Comfort Letter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each of the First Closing Date and each Option Closing Date the Representatives shall have received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KPMG LLP,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50" w:lineRule="exact"/>
        <w:rPr>
          <w:rFonts w:ascii="Arial" w:cs="Arial" w:eastAsia="Arial" w:hAnsi="Arial"/>
          <w:sz w:val="16"/>
          <w:szCs w:val="16"/>
          <w:b w:val="1"/>
          <w:bCs w:val="1"/>
          <w:color w:val="auto"/>
        </w:rPr>
      </w:pPr>
    </w:p>
    <w:p>
      <w:pPr>
        <w:ind w:right="360" w:firstLine="444"/>
        <w:spacing w:after="0" w:line="264" w:lineRule="auto"/>
        <w:tabs>
          <w:tab w:leader="none" w:pos="65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Lock-Up Agreements. </w:t>
      </w:r>
      <w:r>
        <w:rPr>
          <w:rFonts w:ascii="Arial" w:cs="Arial" w:eastAsia="Arial" w:hAnsi="Arial"/>
          <w:sz w:val="18"/>
          <w:szCs w:val="18"/>
          <w:color w:val="auto"/>
        </w:rPr>
        <w:t>On or prior to the date hereof, the Company shall have furnished to the Representatives an agreement in the form of</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from each of the persons listed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and each such agreement shall be in full force and effect on each of the First Closing Date and each Option Closing Date.</w:t>
      </w:r>
    </w:p>
    <w:p>
      <w:pPr>
        <w:spacing w:after="0" w:line="73" w:lineRule="exact"/>
        <w:rPr>
          <w:rFonts w:ascii="Arial" w:cs="Arial" w:eastAsia="Arial" w:hAnsi="Arial"/>
          <w:sz w:val="18"/>
          <w:szCs w:val="18"/>
          <w:b w:val="1"/>
          <w:bCs w:val="1"/>
          <w:color w:val="auto"/>
        </w:rPr>
      </w:pPr>
    </w:p>
    <w:p>
      <w:pPr>
        <w:ind w:firstLine="444"/>
        <w:spacing w:after="0" w:line="286" w:lineRule="auto"/>
        <w:tabs>
          <w:tab w:leader="none" w:pos="665"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Certificate of Chief Financial Officer</w:t>
      </w:r>
      <w:r>
        <w:rPr>
          <w:rFonts w:ascii="Arial" w:cs="Arial" w:eastAsia="Arial" w:hAnsi="Arial"/>
          <w:sz w:val="17"/>
          <w:szCs w:val="17"/>
          <w:color w:val="auto"/>
        </w:rPr>
        <w:t>. On the date hereof, the First Closing Date and each Option Closing Date, the Representatives shall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received a written certificate of the chief financial officer of the Company, dated such date, in form and substance satisfactory to the Representatives, which letter shall cover certain financial information contained in the Time of Sale Prospectus and the Prospectus, as applicable.</w:t>
      </w:r>
    </w:p>
    <w:p>
      <w:pPr>
        <w:spacing w:after="0" w:line="53" w:lineRule="exact"/>
        <w:rPr>
          <w:rFonts w:ascii="Arial" w:cs="Arial" w:eastAsia="Arial" w:hAnsi="Arial"/>
          <w:sz w:val="17"/>
          <w:szCs w:val="17"/>
          <w:b w:val="1"/>
          <w:bCs w:val="1"/>
          <w:color w:val="auto"/>
        </w:rPr>
      </w:pPr>
    </w:p>
    <w:p>
      <w:pPr>
        <w:ind w:right="60" w:firstLine="444"/>
        <w:spacing w:after="0" w:line="266" w:lineRule="auto"/>
        <w:tabs>
          <w:tab w:leader="none" w:pos="706"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Rule 462(b) Registration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that a Rule 462(b) Registration Statement is filed in connection with the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contemplated by this Agreement, such Rule 462(b) Registration Statement shall have been filed with the Commission on the date of this Agreement and shall have become effective automatically upon such filing.</w:t>
      </w:r>
    </w:p>
    <w:p>
      <w:pPr>
        <w:spacing w:after="0" w:line="72" w:lineRule="exact"/>
        <w:rPr>
          <w:rFonts w:ascii="Arial" w:cs="Arial" w:eastAsia="Arial" w:hAnsi="Arial"/>
          <w:sz w:val="18"/>
          <w:szCs w:val="18"/>
          <w:b w:val="1"/>
          <w:bCs w:val="1"/>
          <w:color w:val="auto"/>
        </w:rPr>
      </w:pPr>
    </w:p>
    <w:p>
      <w:pPr>
        <w:ind w:right="180" w:firstLine="444"/>
        <w:spacing w:after="0" w:line="277" w:lineRule="auto"/>
        <w:tabs>
          <w:tab w:leader="none" w:pos="65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Approval of Listing</w:t>
      </w:r>
      <w:r>
        <w:rPr>
          <w:rFonts w:ascii="Arial" w:cs="Arial" w:eastAsia="Arial" w:hAnsi="Arial"/>
          <w:sz w:val="18"/>
          <w:szCs w:val="18"/>
          <w:color w:val="auto"/>
        </w:rPr>
        <w:t>. At the First Closing Date, the Offered Shares shall have been approved for listing on the Nasdaq, subject only to official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notice of issuance.</w:t>
      </w:r>
    </w:p>
    <w:p>
      <w:pPr>
        <w:spacing w:after="0" w:line="62" w:lineRule="exact"/>
        <w:rPr>
          <w:rFonts w:ascii="Arial" w:cs="Arial" w:eastAsia="Arial" w:hAnsi="Arial"/>
          <w:sz w:val="18"/>
          <w:szCs w:val="18"/>
          <w:b w:val="1"/>
          <w:bCs w:val="1"/>
          <w:color w:val="auto"/>
        </w:rPr>
      </w:pPr>
    </w:p>
    <w:p>
      <w:pPr>
        <w:ind w:right="180" w:firstLine="444"/>
        <w:spacing w:after="0" w:line="273" w:lineRule="auto"/>
        <w:tabs>
          <w:tab w:leader="none" w:pos="755"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Additional Documents</w:t>
      </w:r>
      <w:r>
        <w:rPr>
          <w:rFonts w:ascii="Arial" w:cs="Arial" w:eastAsia="Arial" w:hAnsi="Arial"/>
          <w:sz w:val="17"/>
          <w:szCs w:val="17"/>
          <w:color w:val="auto"/>
        </w:rPr>
        <w:t>. On or before each of the First Closing Date and each Option Closing Date, the Representatives and counsel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Underwriters shall have received such 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Shares as contemplated herein and in connection with the other transactions contemplated by this Agreement shall be satisfactory in form and substance to the Representatives and counsel for the Underwriters.</w:t>
      </w:r>
    </w:p>
    <w:p>
      <w:pPr>
        <w:spacing w:after="0" w:line="178" w:lineRule="exact"/>
        <w:rPr>
          <w:sz w:val="20"/>
          <w:szCs w:val="20"/>
          <w:color w:val="auto"/>
        </w:rPr>
      </w:pPr>
    </w:p>
    <w:p>
      <w:pPr>
        <w:ind w:right="220" w:firstLine="441"/>
        <w:spacing w:after="0" w:line="302" w:lineRule="auto"/>
        <w:rPr>
          <w:sz w:val="20"/>
          <w:szCs w:val="20"/>
          <w:color w:val="auto"/>
        </w:rPr>
      </w:pPr>
      <w:r>
        <w:rPr>
          <w:rFonts w:ascii="Arial" w:cs="Arial" w:eastAsia="Arial" w:hAnsi="Arial"/>
          <w:sz w:val="16"/>
          <w:szCs w:val="16"/>
          <w:color w:val="auto"/>
        </w:rPr>
        <w:t>If any condition specified in this Section 6 is not satisfied when and as required to be satisfied, this Agreement may be terminated by the Representatives by notice from the Representatives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spacing w:after="0" w:line="42" w:lineRule="exact"/>
        <w:rPr>
          <w:sz w:val="20"/>
          <w:szCs w:val="20"/>
          <w:color w:val="auto"/>
        </w:rPr>
      </w:pPr>
    </w:p>
    <w:p>
      <w:pPr>
        <w:ind w:right="100" w:firstLine="992"/>
        <w:spacing w:after="0" w:line="255" w:lineRule="auto"/>
        <w:rPr>
          <w:sz w:val="20"/>
          <w:szCs w:val="20"/>
          <w:color w:val="auto"/>
        </w:rPr>
      </w:pPr>
      <w:r>
        <w:rPr>
          <w:rFonts w:ascii="Arial" w:cs="Arial" w:eastAsia="Arial" w:hAnsi="Arial"/>
          <w:sz w:val="18"/>
          <w:szCs w:val="18"/>
          <w:b w:val="1"/>
          <w:bCs w:val="1"/>
          <w:color w:val="auto"/>
        </w:rPr>
        <w:t>Section 7. Reimbursement of Underwriters’ Expenses</w:t>
      </w:r>
      <w:r>
        <w:rPr>
          <w:rFonts w:ascii="Arial" w:cs="Arial" w:eastAsia="Arial" w:hAnsi="Arial"/>
          <w:sz w:val="18"/>
          <w:szCs w:val="18"/>
          <w:color w:val="auto"/>
        </w:rPr>
        <w:t>. If this Agreement is terminated by the Representatives pursuant to Section 6,</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11 or Section 12, or if the sale to the Underwriters of the Offered Shares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reasonably incurred by the Representatives and the Underwriters in connection with the proposed purchase and the offering and sale of the Offered Shares, including, but not limited to, fees and disbursements of counsel, printing expenses, travel expenses,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0" w:right="439" w:bottom="1440" w:gutter="0" w:footer="0" w:header="0"/>
        </w:sectPr>
      </w:pPr>
    </w:p>
    <w:bookmarkStart w:id="28" w:name="page29"/>
    <w:bookmarkEnd w:id="28"/>
    <w:p>
      <w:pPr>
        <w:ind w:right="1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postage, facsimile and telephone charges; provided, however, that in the event any such termination is effected after the First Closing Date, but prior to any Option Closing Date with respect to the purchase of any Optional Shares, the Company shall only reimburse the Underwriters for all of their out-of-pocket expenses reasonably incurred after the First Closing Date in connection with the proposed purchase of any such Optional Shares.</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Section 8. Effectiveness of this Agreement</w:t>
      </w:r>
      <w:r>
        <w:rPr>
          <w:rFonts w:ascii="Arial" w:cs="Arial" w:eastAsia="Arial" w:hAnsi="Arial"/>
          <w:sz w:val="16"/>
          <w:szCs w:val="16"/>
          <w:color w:val="auto"/>
        </w:rPr>
        <w:t>. This Agreement shall become effective upon the execution and delivery hereof by the parties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07"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Section 9. Indemnification</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84" w:lineRule="auto"/>
        <w:tabs>
          <w:tab w:leader="none" w:pos="695"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Underwriters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agrees to indemnify and hold harmless each Underwriter, its affiliates, directors,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(A)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any Section 5(d) Written Communication or the Prospectus (or any amendment or supplement to the foregoing), or the omission or alleged omission to state therein a material fact necessary in order to make the statements, in the light of the circumstances under which they were made, not misleading, or (B) the violation of any laws or regulations of foreign jurisdictions where Offered Shares have been offered or sold; and to reimburse each Underwriter and each such affiliate, director, officer, employee, agent and controlling person for any and all reasonable and documented expenses (including the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any Section 5(d) Written Communication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spacing w:after="0" w:line="74" w:lineRule="exact"/>
        <w:rPr>
          <w:rFonts w:ascii="Arial" w:cs="Arial" w:eastAsia="Arial" w:hAnsi="Arial"/>
          <w:sz w:val="16"/>
          <w:szCs w:val="16"/>
          <w:b w:val="1"/>
          <w:bCs w:val="1"/>
          <w:color w:val="auto"/>
        </w:rPr>
      </w:pPr>
    </w:p>
    <w:p>
      <w:pPr>
        <w:ind w:right="140" w:firstLine="444"/>
        <w:spacing w:after="0" w:line="257" w:lineRule="auto"/>
        <w:tabs>
          <w:tab w:leader="none" w:pos="706"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Indemnification of the Company, its Directors and Officers</w:t>
      </w:r>
      <w:r>
        <w:rPr>
          <w:rFonts w:ascii="Arial" w:cs="Arial" w:eastAsia="Arial" w:hAnsi="Arial"/>
          <w:sz w:val="18"/>
          <w:szCs w:val="18"/>
          <w:color w:val="auto"/>
        </w:rPr>
        <w:t>. Each Underwriter agrees, severally and not jointly, to indemnify and hold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29" w:name="page30"/>
    <w:bookmarkEnd w:id="29"/>
    <w:p>
      <w:pPr>
        <w:ind w:right="2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w:t>
      </w:r>
    </w:p>
    <w:p>
      <w:pPr>
        <w:spacing w:after="0" w:line="2" w:lineRule="exact"/>
        <w:rPr>
          <w:sz w:val="20"/>
          <w:szCs w:val="20"/>
          <w:color w:val="auto"/>
        </w:rPr>
      </w:pPr>
    </w:p>
    <w:p>
      <w:pPr>
        <w:ind w:right="140" w:firstLine="4"/>
        <w:spacing w:after="0" w:line="284" w:lineRule="auto"/>
        <w:tabs>
          <w:tab w:leader="none" w:pos="265"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untrue statement or alleged untrue statement of a material fact included in any preliminary prospectus, the Time of Sale Prospectus, any free writing prospectus, that the Company has used, referred to or filed, or is required to file, pursuant to Rule 433 of the Securities Act, any Section 5(d) Written Communication or the Prospectus (or any such amendment or supplement) or the omission or alleged omission to state therein a material fact necessary in order to make the statements therein,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such Section 5(d) Written Communication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any Section 5(d) Written Communication or the Prospectus (or any amendment or supplement to the foregoing) are the first sentence of the 3rd paragraph under the caption “Underwriting” regarding market making, the concession figure in the first sentence of the 5th paragraph under the caption “Underwriting,” the first sentence of the 14th paragraph under the caption “Underwriting” regarding stabilizing activities and the first sentence of the 19th paragraph under the caption “Underwriting” regarding internet distribution in the Preliminary Prospectus Supplement and the Final Prospectus Supplement. The indemnity agreement set forth in this Section 9(b) shall be in addition to any liabilities that each Underwriter may otherwise have.</w:t>
      </w:r>
    </w:p>
    <w:p>
      <w:pPr>
        <w:spacing w:after="0" w:line="60" w:lineRule="exact"/>
        <w:rPr>
          <w:rFonts w:ascii="Arial" w:cs="Arial" w:eastAsia="Arial" w:hAnsi="Arial"/>
          <w:sz w:val="16"/>
          <w:szCs w:val="16"/>
          <w:color w:val="auto"/>
        </w:rPr>
      </w:pPr>
    </w:p>
    <w:p>
      <w:pPr>
        <w:ind w:firstLine="444"/>
        <w:spacing w:after="0" w:line="268" w:lineRule="auto"/>
        <w:tabs>
          <w:tab w:leader="none" w:pos="685" w:val="left"/>
        </w:tabs>
        <w:numPr>
          <w:ilvl w:val="1"/>
          <w:numId w:val="3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Notifications and Other Indemnification Procedures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Promptly after receipt by an indemnified party under this Section 9 of notice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defendants in any such action include both the indemnified party and the indemnifying party and counsel to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30" w:name="page31"/>
    <w:bookmarkEnd w:id="30"/>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law firm (together with one law firm as local counsel in each relevant jurisdiction and special counsel), representing the indemnified parties who are parties to such action), which counsel (together with one law firm as local counsel in each relevant jurisdiction and special counsel) for the indemnified parties shall be selected by the Representatives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57" w:lineRule="exact"/>
        <w:rPr>
          <w:sz w:val="20"/>
          <w:szCs w:val="20"/>
          <w:color w:val="auto"/>
        </w:rPr>
      </w:pPr>
    </w:p>
    <w:p>
      <w:pPr>
        <w:ind w:firstLine="444"/>
        <w:spacing w:after="0" w:line="269" w:lineRule="auto"/>
        <w:tabs>
          <w:tab w:leader="none" w:pos="706"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Settlements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indemnifying party under this Section 9 shall not be liable for any settlement of any proceeding effected without its written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80" w:lineRule="exact"/>
        <w:rPr>
          <w:sz w:val="20"/>
          <w:szCs w:val="20"/>
          <w:color w:val="auto"/>
        </w:rPr>
      </w:pPr>
    </w:p>
    <w:p>
      <w:pPr>
        <w:ind w:firstLine="992"/>
        <w:spacing w:after="0" w:line="289" w:lineRule="auto"/>
        <w:rPr>
          <w:sz w:val="20"/>
          <w:szCs w:val="20"/>
          <w:color w:val="auto"/>
        </w:rPr>
      </w:pPr>
      <w:r>
        <w:rPr>
          <w:rFonts w:ascii="Arial" w:cs="Arial" w:eastAsia="Arial" w:hAnsi="Arial"/>
          <w:sz w:val="16"/>
          <w:szCs w:val="16"/>
          <w:b w:val="1"/>
          <w:bCs w:val="1"/>
          <w:color w:val="auto"/>
        </w:rPr>
        <w:t>Section 10. Contribution</w:t>
      </w:r>
      <w:r>
        <w:rPr>
          <w:rFonts w:ascii="Arial" w:cs="Arial" w:eastAsia="Arial" w:hAnsi="Arial"/>
          <w:sz w:val="16"/>
          <w:szCs w:val="16"/>
          <w:color w:val="auto"/>
        </w:rPr>
        <w:t>. If the indemnification provided for in Section 9 is for any reason (other than due to indemnification not being</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pursuant to its terms)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31" w:name="page32"/>
    <w:bookmarkEnd w:id="31"/>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same respective proportions as the total proceeds from the offering of the Offered Shares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178"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 xml:space="preserve">The amount paid or payable by a party as a result of the losses, claims, damages, liabilities and expenses referred to above shall be deemed to include, subject to the limitations set forth in Section 9(c), any reasonable and documented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additional notice shall be required with respect to any action for which notice has been given under Section 9(c) for purposes of indemnification.</w:t>
      </w:r>
    </w:p>
    <w:p>
      <w:pPr>
        <w:spacing w:after="0" w:line="173"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spacing w:after="0" w:line="18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Arial" w:cs="Arial" w:eastAsia="Arial" w:hAnsi="Arial"/>
          <w:sz w:val="17"/>
          <w:szCs w:val="17"/>
          <w:u w:val="single" w:color="auto"/>
          <w:color w:val="auto"/>
        </w:rPr>
        <w:t>Schedule A</w:t>
      </w:r>
      <w:r>
        <w:rPr>
          <w:rFonts w:ascii="Arial" w:cs="Arial" w:eastAsia="Arial" w:hAnsi="Arial"/>
          <w:sz w:val="17"/>
          <w:szCs w:val="17"/>
          <w:color w:val="auto"/>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78" w:lineRule="exact"/>
        <w:rPr>
          <w:sz w:val="20"/>
          <w:szCs w:val="20"/>
          <w:color w:val="auto"/>
        </w:rPr>
      </w:pPr>
    </w:p>
    <w:p>
      <w:pPr>
        <w:ind w:right="60" w:firstLine="992"/>
        <w:spacing w:after="0" w:line="289" w:lineRule="auto"/>
        <w:rPr>
          <w:sz w:val="20"/>
          <w:szCs w:val="20"/>
          <w:color w:val="auto"/>
        </w:rPr>
      </w:pPr>
      <w:r>
        <w:rPr>
          <w:rFonts w:ascii="Arial" w:cs="Arial" w:eastAsia="Arial" w:hAnsi="Arial"/>
          <w:sz w:val="16"/>
          <w:szCs w:val="16"/>
          <w:b w:val="1"/>
          <w:bCs w:val="1"/>
          <w:color w:val="auto"/>
        </w:rPr>
        <w:t>Section 11. Default of One or More of the Several Underwriters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If, on the First Closing Date or any Option Closing Date any one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more of the 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bears to the aggregate number of Firm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 but failed or refused to purchase on such date. If, on the First Closing Date or any Option Closing Date any one or more of the Underwriters shall fail or refuse to purchase Offered Shares and the aggregate number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32" w:name="page33"/>
    <w:bookmarkEnd w:id="32"/>
    <w:p>
      <w:pPr>
        <w:ind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161" w:lineRule="exact"/>
        <w:rPr>
          <w:sz w:val="20"/>
          <w:szCs w:val="20"/>
          <w:color w:val="auto"/>
        </w:rPr>
      </w:pPr>
    </w:p>
    <w:p>
      <w:pPr>
        <w:ind w:right="340" w:firstLine="441"/>
        <w:spacing w:after="0" w:line="266" w:lineRule="auto"/>
        <w:rPr>
          <w:sz w:val="20"/>
          <w:szCs w:val="20"/>
          <w:color w:val="auto"/>
        </w:rPr>
      </w:pPr>
      <w:r>
        <w:rPr>
          <w:rFonts w:ascii="Arial" w:cs="Arial" w:eastAsia="Arial" w:hAnsi="Arial"/>
          <w:sz w:val="18"/>
          <w:szCs w:val="18"/>
          <w:color w:val="auto"/>
        </w:rPr>
        <w:t>As used in this Agreement, the term “</w:t>
      </w:r>
      <w:r>
        <w:rPr>
          <w:rFonts w:ascii="Arial" w:cs="Arial" w:eastAsia="Arial" w:hAnsi="Arial"/>
          <w:sz w:val="18"/>
          <w:szCs w:val="18"/>
          <w:b w:val="1"/>
          <w:bCs w:val="1"/>
          <w:color w:val="auto"/>
        </w:rPr>
        <w:t>Underwriter</w:t>
      </w:r>
      <w:r>
        <w:rPr>
          <w:rFonts w:ascii="Arial" w:cs="Arial" w:eastAsia="Arial" w:hAnsi="Arial"/>
          <w:sz w:val="18"/>
          <w:szCs w:val="18"/>
          <w:color w:val="auto"/>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spacing w:after="0" w:line="176" w:lineRule="exact"/>
        <w:rPr>
          <w:sz w:val="20"/>
          <w:szCs w:val="20"/>
          <w:color w:val="auto"/>
        </w:rPr>
      </w:pPr>
    </w:p>
    <w:p>
      <w:pPr>
        <w:ind w:firstLine="992"/>
        <w:spacing w:after="0" w:line="286" w:lineRule="auto"/>
        <w:rPr>
          <w:sz w:val="20"/>
          <w:szCs w:val="20"/>
          <w:color w:val="auto"/>
        </w:rPr>
      </w:pPr>
      <w:r>
        <w:rPr>
          <w:rFonts w:ascii="Arial" w:cs="Arial" w:eastAsia="Arial" w:hAnsi="Arial"/>
          <w:sz w:val="16"/>
          <w:szCs w:val="16"/>
          <w:b w:val="1"/>
          <w:bCs w:val="1"/>
          <w:color w:val="auto"/>
        </w:rPr>
        <w:t>Section 12. Termination of this Agreement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purchase of the Firm Shares by the Underwriters on the First Closing Date,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may be terminated by the Representatives by notice given to the Company if at any time: (i) trading or quotation in any of the Company’s securities shall have been suspended or limited by the Commission or by the Nasdaq, or trading in securities generally on either the Nasdaq or the NYSE shall have been suspended or limited, or minimum or maximum prices shall have been generally established on any of such stock exchanges; (ii) a general banking moratorium shall have been declared by any of federal, New York, Illinois or Texas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Shares in the manner and on the terms described in the Time of Sale Prospectus or the Prospectus or to enforce contracts for the sale of securities; (iv) in the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provisions of Section 9 and Section 10 shall at all times be effective and shall survive such termination.</w:t>
      </w:r>
    </w:p>
    <w:p>
      <w:pPr>
        <w:spacing w:after="0" w:line="169" w:lineRule="exact"/>
        <w:rPr>
          <w:sz w:val="20"/>
          <w:szCs w:val="20"/>
          <w:color w:val="auto"/>
        </w:rPr>
      </w:pPr>
    </w:p>
    <w:p>
      <w:pPr>
        <w:ind w:right="60" w:firstLine="992"/>
        <w:spacing w:after="0" w:line="288" w:lineRule="auto"/>
        <w:rPr>
          <w:sz w:val="20"/>
          <w:szCs w:val="20"/>
          <w:color w:val="auto"/>
        </w:rPr>
      </w:pPr>
      <w:r>
        <w:rPr>
          <w:rFonts w:ascii="Arial" w:cs="Arial" w:eastAsia="Arial" w:hAnsi="Arial"/>
          <w:sz w:val="16"/>
          <w:szCs w:val="16"/>
          <w:b w:val="1"/>
          <w:bCs w:val="1"/>
          <w:color w:val="auto"/>
        </w:rPr>
        <w:t xml:space="preserve">Section 13. No Advisory or Fiduciary Relationship. </w:t>
      </w:r>
      <w:r>
        <w:rPr>
          <w:rFonts w:ascii="Arial" w:cs="Arial" w:eastAsia="Arial" w:hAnsi="Arial"/>
          <w:sz w:val="16"/>
          <w:szCs w:val="16"/>
          <w:color w:val="auto"/>
        </w:rPr>
        <w:t>The Company acknowledges and agrees that (a) the purchase and sale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Offered Shares pursuant to this Agreement, including the determination of the public offering price of the Offered Shares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33" w:name="page34"/>
    <w:bookmarkEnd w:id="33"/>
    <w:p>
      <w:pPr>
        <w:ind w:right="60" w:firstLine="992"/>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14. Representations and Indemnities to Survive Delivery</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respective indemnities, agreements, representations, warranties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Shares sold hereunder and any termination of this Agreement.</w:t>
      </w:r>
    </w:p>
    <w:p>
      <w:pPr>
        <w:spacing w:after="0" w:line="168" w:lineRule="exact"/>
        <w:rPr>
          <w:sz w:val="20"/>
          <w:szCs w:val="20"/>
          <w:color w:val="auto"/>
        </w:rPr>
      </w:pPr>
    </w:p>
    <w:p>
      <w:pPr>
        <w:ind w:firstLine="992"/>
        <w:spacing w:after="0" w:line="282" w:lineRule="auto"/>
        <w:rPr>
          <w:sz w:val="20"/>
          <w:szCs w:val="20"/>
          <w:color w:val="auto"/>
        </w:rPr>
      </w:pPr>
      <w:r>
        <w:rPr>
          <w:rFonts w:ascii="Arial" w:cs="Arial" w:eastAsia="Arial" w:hAnsi="Arial"/>
          <w:sz w:val="18"/>
          <w:szCs w:val="18"/>
          <w:b w:val="1"/>
          <w:bCs w:val="1"/>
          <w:color w:val="auto"/>
        </w:rPr>
        <w:t>Section 15. Notices</w:t>
      </w:r>
      <w:r>
        <w:rPr>
          <w:rFonts w:ascii="Arial" w:cs="Arial" w:eastAsia="Arial" w:hAnsi="Arial"/>
          <w:sz w:val="18"/>
          <w:szCs w:val="18"/>
          <w:color w:val="auto"/>
        </w:rPr>
        <w:t>. All communications hereunder shall be in writing and shall be mailed, hand delivered or telecopied and confirmed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as follows:</w:t>
      </w:r>
    </w:p>
    <w:p>
      <w:pPr>
        <w:sectPr>
          <w:pgSz w:w="11900" w:h="16838" w:orient="portrait"/>
          <w:cols w:equalWidth="0" w:num="1">
            <w:col w:w="10940"/>
          </w:cols>
          <w:pgMar w:left="440" w:top="270" w:right="519" w:bottom="1440" w:gutter="0" w:footer="0" w:header="0"/>
        </w:sectPr>
      </w:pPr>
    </w:p>
    <w:p>
      <w:pPr>
        <w:spacing w:after="0" w:line="19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to the Representatives: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10022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Facsimile: (646) 619-4437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Counsel</w:t>
      </w:r>
    </w:p>
    <w:p>
      <w:pPr>
        <w:spacing w:after="0" w:line="126" w:lineRule="exact"/>
        <w:rPr>
          <w:sz w:val="20"/>
          <w:szCs w:val="20"/>
          <w:color w:val="auto"/>
        </w:rPr>
      </w:pPr>
    </w:p>
    <w:p>
      <w:pPr>
        <w:sectPr>
          <w:pgSz w:w="11900" w:h="16838" w:orient="portrait"/>
          <w:cols w:equalWidth="0" w:num="2">
            <w:col w:w="2360" w:space="300"/>
            <w:col w:w="8280"/>
          </w:cols>
          <w:pgMar w:left="440" w:top="270" w:right="519" w:bottom="1440" w:gutter="0" w:footer="0" w:header="0"/>
          <w:type w:val="continuous"/>
        </w:sectPr>
      </w:pPr>
    </w:p>
    <w:p>
      <w:pPr>
        <w:ind w:left="2660"/>
        <w:spacing w:after="0"/>
        <w:rPr>
          <w:sz w:val="20"/>
          <w:szCs w:val="20"/>
          <w:color w:val="auto"/>
        </w:rPr>
      </w:pPr>
      <w:r>
        <w:rPr>
          <w:rFonts w:ascii="Arial" w:cs="Arial" w:eastAsia="Arial" w:hAnsi="Arial"/>
          <w:sz w:val="18"/>
          <w:szCs w:val="18"/>
          <w:color w:val="auto"/>
        </w:rPr>
        <w:t>Piper Sandler &amp; Co.</w:t>
      </w:r>
    </w:p>
    <w:p>
      <w:pPr>
        <w:spacing w:after="0" w:line="23"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800 Nicolette Mall</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Minneapolis, Minnesota 55402</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Facsimile: 612-313-3112</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Attention: General Counsel</w:t>
      </w:r>
    </w:p>
    <w:p>
      <w:pPr>
        <w:sectPr>
          <w:pgSz w:w="11900" w:h="16838" w:orient="portrait"/>
          <w:cols w:equalWidth="0" w:num="1">
            <w:col w:w="10940"/>
          </w:cols>
          <w:pgMar w:left="440" w:top="270" w:right="519" w:bottom="1440" w:gutter="0" w:footer="0" w:header="0"/>
          <w:type w:val="continuous"/>
        </w:sectPr>
      </w:pPr>
    </w:p>
    <w:p>
      <w:pPr>
        <w:spacing w:after="0" w:line="10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Wilmer Cutler Pickering Hale and Dorr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 World Trade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230-8888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Lisa Firenze</w:t>
      </w:r>
    </w:p>
    <w:p>
      <w:pPr>
        <w:spacing w:after="0" w:line="103" w:lineRule="exact"/>
        <w:rPr>
          <w:sz w:val="20"/>
          <w:szCs w:val="20"/>
          <w:color w:val="auto"/>
        </w:rPr>
      </w:pPr>
    </w:p>
    <w:p>
      <w:pPr>
        <w:sectPr>
          <w:pgSz w:w="11900" w:h="16838" w:orient="portrait"/>
          <w:cols w:equalWidth="0" w:num="2">
            <w:col w:w="1940" w:space="720"/>
            <w:col w:w="8280"/>
          </w:cols>
          <w:pgMar w:left="440" w:top="270" w:right="51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Xeris Pharmaceuticals,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180 North LaSalle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Facsimile: (312) 604-5601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Attention: Legal Department</w:t>
      </w:r>
    </w:p>
    <w:p>
      <w:pPr>
        <w:spacing w:after="0" w:line="126" w:lineRule="exact"/>
        <w:rPr>
          <w:sz w:val="20"/>
          <w:szCs w:val="20"/>
          <w:color w:val="auto"/>
        </w:rPr>
      </w:pPr>
    </w:p>
    <w:p>
      <w:pPr>
        <w:sectPr>
          <w:pgSz w:w="11900" w:h="16838" w:orient="portrait"/>
          <w:cols w:equalWidth="0" w:num="2">
            <w:col w:w="1940" w:space="720"/>
            <w:col w:w="8280"/>
          </w:cols>
          <w:pgMar w:left="440" w:top="270" w:right="51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Facsimile: (617) 801-8864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Joseph Theis</w:t>
      </w:r>
    </w:p>
    <w:p>
      <w:pPr>
        <w:spacing w:after="0" w:line="200" w:lineRule="exact"/>
        <w:rPr>
          <w:sz w:val="20"/>
          <w:szCs w:val="20"/>
          <w:color w:val="auto"/>
        </w:rPr>
      </w:pPr>
    </w:p>
    <w:p>
      <w:pPr>
        <w:sectPr>
          <w:pgSz w:w="11900" w:h="16838" w:orient="portrait"/>
          <w:cols w:equalWidth="0" w:num="2">
            <w:col w:w="1940" w:space="720"/>
            <w:col w:w="8280"/>
          </w:cols>
          <w:pgMar w:left="440" w:top="270" w:right="51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Any party hereto may change the address for receipt of communications by giving written notice to the others.</w:t>
      </w:r>
    </w:p>
    <w:p>
      <w:pPr>
        <w:spacing w:after="0" w:line="18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440" w:top="270" w:right="519" w:bottom="1440" w:gutter="0" w:footer="0" w:header="0"/>
          <w:type w:val="continuous"/>
        </w:sectPr>
      </w:pPr>
    </w:p>
    <w:bookmarkStart w:id="34" w:name="page35"/>
    <w:bookmarkEnd w:id="34"/>
    <w:p>
      <w:pPr>
        <w:ind w:right="140" w:firstLine="992"/>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 Successors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will inure to the benefit of and be binding upon the parties hereto, including any substitute</w:t>
      </w:r>
      <w:r>
        <w:rPr>
          <w:rFonts w:ascii="Arial" w:cs="Arial" w:eastAsia="Arial" w:hAnsi="Arial"/>
          <w:sz w:val="16"/>
          <w:szCs w:val="16"/>
          <w:b w:val="1"/>
          <w:bCs w:val="1"/>
          <w:color w:val="auto"/>
        </w:rPr>
        <w:t xml:space="preserve"> </w:t>
      </w:r>
      <w:r>
        <w:rPr>
          <w:rFonts w:ascii="Arial" w:cs="Arial" w:eastAsia="Arial" w:hAnsi="Arial"/>
          <w:sz w:val="16"/>
          <w:szCs w:val="16"/>
          <w:color w:val="auto"/>
        </w:rPr>
        <w:t>Underwriters pursuant to Section 11 hereof, and to the benefit of the affiliates, directors, officers, employees, agents and controlling persons referred to in Section 9 and Section 10, and in each case their respective successors, and no other person will have any right or obligation hereunder. The term “</w:t>
      </w:r>
      <w:r>
        <w:rPr>
          <w:rFonts w:ascii="Arial" w:cs="Arial" w:eastAsia="Arial" w:hAnsi="Arial"/>
          <w:sz w:val="16"/>
          <w:szCs w:val="16"/>
          <w:b w:val="1"/>
          <w:bCs w:val="1"/>
          <w:color w:val="auto"/>
        </w:rPr>
        <w:t>successors</w:t>
      </w:r>
      <w:r>
        <w:rPr>
          <w:rFonts w:ascii="Arial" w:cs="Arial" w:eastAsia="Arial" w:hAnsi="Arial"/>
          <w:sz w:val="16"/>
          <w:szCs w:val="16"/>
          <w:color w:val="auto"/>
        </w:rPr>
        <w:t>” shall not include any purchaser of the Offered Shares as such from any of the Underwriters merely by reason of such purchase.</w:t>
      </w:r>
    </w:p>
    <w:p>
      <w:pPr>
        <w:spacing w:after="0" w:line="151" w:lineRule="exact"/>
        <w:rPr>
          <w:sz w:val="20"/>
          <w:szCs w:val="20"/>
          <w:color w:val="auto"/>
        </w:rPr>
      </w:pPr>
    </w:p>
    <w:p>
      <w:pPr>
        <w:jc w:val="both"/>
        <w:ind w:right="220" w:firstLine="992"/>
        <w:spacing w:after="0" w:line="261" w:lineRule="auto"/>
        <w:rPr>
          <w:sz w:val="20"/>
          <w:szCs w:val="20"/>
          <w:color w:val="auto"/>
        </w:rPr>
      </w:pPr>
      <w:r>
        <w:rPr>
          <w:rFonts w:ascii="Arial" w:cs="Arial" w:eastAsia="Arial" w:hAnsi="Arial"/>
          <w:sz w:val="18"/>
          <w:szCs w:val="18"/>
          <w:b w:val="1"/>
          <w:bCs w:val="1"/>
          <w:color w:val="auto"/>
        </w:rPr>
        <w:t>Section 17. Partial Unenforceability</w:t>
      </w:r>
      <w:r>
        <w:rPr>
          <w:rFonts w:ascii="Arial" w:cs="Arial" w:eastAsia="Arial" w:hAnsi="Arial"/>
          <w:sz w:val="18"/>
          <w:szCs w:val="18"/>
          <w:color w:val="auto"/>
        </w:rPr>
        <w:t>. The invalidity or unenforceability of any section, paragraph or provision of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Section 18. Recognition of the U.S. Special Resolution Regimes.</w:t>
      </w:r>
    </w:p>
    <w:p>
      <w:pPr>
        <w:spacing w:after="0" w:line="121" w:lineRule="exact"/>
        <w:rPr>
          <w:sz w:val="20"/>
          <w:szCs w:val="20"/>
          <w:color w:val="auto"/>
        </w:rPr>
      </w:pPr>
    </w:p>
    <w:p>
      <w:pPr>
        <w:ind w:right="60" w:firstLine="444"/>
        <w:spacing w:after="0" w:line="259" w:lineRule="auto"/>
        <w:tabs>
          <w:tab w:leader="none" w:pos="695"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8" w:lineRule="exact"/>
        <w:rPr>
          <w:rFonts w:ascii="Arial" w:cs="Arial" w:eastAsia="Arial" w:hAnsi="Arial"/>
          <w:sz w:val="18"/>
          <w:szCs w:val="18"/>
          <w:b w:val="1"/>
          <w:bCs w:val="1"/>
          <w:color w:val="auto"/>
        </w:rPr>
      </w:pPr>
    </w:p>
    <w:p>
      <w:pPr>
        <w:ind w:right="20" w:firstLine="444"/>
        <w:spacing w:after="0" w:line="259" w:lineRule="auto"/>
        <w:tabs>
          <w:tab w:leader="none" w:pos="706"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purposes of this Agreement, (A) “</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 (B) “</w:t>
      </w:r>
      <w:r>
        <w:rPr>
          <w:rFonts w:ascii="Arial" w:cs="Arial" w:eastAsia="Arial" w:hAnsi="Arial"/>
          <w:sz w:val="17"/>
          <w:szCs w:val="17"/>
          <w:b w:val="1"/>
          <w:b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Arial" w:cs="Arial" w:eastAsia="Arial" w:hAnsi="Arial"/>
          <w:sz w:val="17"/>
          <w:szCs w:val="17"/>
          <w:b w:val="1"/>
          <w:b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 and (D) “</w:t>
      </w:r>
      <w:r>
        <w:rPr>
          <w:rFonts w:ascii="Arial" w:cs="Arial" w:eastAsia="Arial" w:hAnsi="Arial"/>
          <w:sz w:val="17"/>
          <w:szCs w:val="17"/>
          <w:b w:val="1"/>
          <w:bCs w:val="1"/>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72" w:lineRule="exact"/>
        <w:rPr>
          <w:sz w:val="20"/>
          <w:szCs w:val="20"/>
          <w:color w:val="auto"/>
        </w:rPr>
      </w:pPr>
    </w:p>
    <w:p>
      <w:pPr>
        <w:ind w:right="20" w:firstLine="992"/>
        <w:spacing w:after="0" w:line="289" w:lineRule="auto"/>
        <w:rPr>
          <w:sz w:val="20"/>
          <w:szCs w:val="20"/>
          <w:color w:val="auto"/>
        </w:rPr>
      </w:pPr>
      <w:r>
        <w:rPr>
          <w:rFonts w:ascii="Arial" w:cs="Arial" w:eastAsia="Arial" w:hAnsi="Arial"/>
          <w:sz w:val="16"/>
          <w:szCs w:val="16"/>
          <w:b w:val="1"/>
          <w:bCs w:val="1"/>
          <w:color w:val="auto"/>
        </w:rPr>
        <w:t>Section 19. Governing Law Provisions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governed by and construed in accordance with the internal laws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State of New York applicable to agreements made and to be performed in such state. Any legal suit, action or proceeding arising out of or based upon this Agreement or the transactions contemplated hereby (“</w:t>
      </w:r>
      <w:r>
        <w:rPr>
          <w:rFonts w:ascii="Arial" w:cs="Arial" w:eastAsia="Arial" w:hAnsi="Arial"/>
          <w:sz w:val="16"/>
          <w:szCs w:val="16"/>
          <w:b w:val="1"/>
          <w:bCs w:val="1"/>
          <w:color w:val="auto"/>
        </w:rPr>
        <w:t>Related Proceedings</w:t>
      </w:r>
      <w:r>
        <w:rPr>
          <w:rFonts w:ascii="Arial" w:cs="Arial" w:eastAsia="Arial" w:hAnsi="Arial"/>
          <w:sz w:val="16"/>
          <w:szCs w:val="16"/>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6"/>
          <w:szCs w:val="16"/>
          <w:b w:val="1"/>
          <w:bCs w:val="1"/>
          <w:color w:val="auto"/>
        </w:rPr>
        <w:t>Specified Courts</w:t>
      </w:r>
      <w:r>
        <w:rPr>
          <w:rFonts w:ascii="Arial" w:cs="Arial" w:eastAsia="Arial" w:hAnsi="Arial"/>
          <w:sz w:val="16"/>
          <w:szCs w:val="16"/>
          <w:color w:val="auto"/>
        </w:rPr>
        <w:t>”), and each party irrevocably submits to the exclusive jurisdiction (except for proceedings instituted in regard to the enforcement of a judgment of any such court (a “</w:t>
      </w:r>
      <w:r>
        <w:rPr>
          <w:rFonts w:ascii="Arial" w:cs="Arial" w:eastAsia="Arial" w:hAnsi="Arial"/>
          <w:sz w:val="16"/>
          <w:szCs w:val="16"/>
          <w:b w:val="1"/>
          <w:bCs w:val="1"/>
          <w:color w:val="auto"/>
        </w:rPr>
        <w:t>Related Judgment</w:t>
      </w:r>
      <w:r>
        <w:rPr>
          <w:rFonts w:ascii="Arial" w:cs="Arial" w:eastAsia="Arial" w:hAnsi="Arial"/>
          <w:sz w:val="16"/>
          <w:szCs w:val="16"/>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0" w:right="439" w:bottom="1440" w:gutter="0" w:footer="0" w:header="0"/>
        </w:sectPr>
      </w:pPr>
    </w:p>
    <w:bookmarkStart w:id="35" w:name="page36"/>
    <w:bookmarkEnd w:id="35"/>
    <w:p>
      <w:pPr>
        <w:ind w:firstLine="992"/>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 General Provisions. </w:t>
      </w:r>
      <w:r>
        <w:rPr>
          <w:rFonts w:ascii="Arial" w:cs="Arial" w:eastAsia="Arial" w:hAnsi="Arial"/>
          <w:sz w:val="17"/>
          <w:szCs w:val="17"/>
          <w:color w:val="auto"/>
        </w:rPr>
        <w:t>This Agreement constitutes the entire agreement of the parties to this Agreement and supersedes all prior</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78"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0" w:right="439" w:bottom="1440" w:gutter="0" w:footer="0" w:header="0"/>
        </w:sectPr>
      </w:pPr>
    </w:p>
    <w:bookmarkStart w:id="36" w:name="page37"/>
    <w:bookmarkEnd w:id="36"/>
    <w:p>
      <w:pPr>
        <w:ind w:right="240" w:firstLine="44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XERIS PHARMACEUTICALS,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R. Edick</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Paul R. Edick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President, Chief Executive Officer and Chairman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40" w:top="274" w:right="499" w:bottom="1440" w:gutter="0" w:footer="0" w:header="0"/>
        </w:sectPr>
      </w:pPr>
    </w:p>
    <w:bookmarkStart w:id="37" w:name="page38"/>
    <w:bookmarkEnd w:id="37"/>
    <w:p>
      <w:pPr>
        <w:ind w:firstLine="99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Underwriting Agreement is hereby confirmed and accepted by the Representatives in New York, New York as of the date first above written.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PIPER SANDLER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individually and as Representatives of the several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Underwriters named in the attached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Charles L. Glazer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Charles L.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 Jefferies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PIPER SANDLER &amp; CO.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Riley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Neil Riley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20"/>
          </w:cols>
          <w:pgMar w:left="440" w:top="274" w:right="6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w w:val="87"/>
              </w:rPr>
              <w:t>Schedule A</w:t>
            </w:r>
          </w:p>
        </w:tc>
      </w:tr>
      <w:tr>
        <w:trPr>
          <w:trHeight w:val="369"/>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w:t>
            </w: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Firm Shares</w:t>
            </w:r>
          </w:p>
        </w:tc>
      </w:tr>
      <w:tr>
        <w:trPr>
          <w:trHeight w:val="185"/>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50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to be Purchased</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Jefferies LLC</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Piper Sandler &amp; Co.</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2,790,000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1,305,000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Mizuho Securities USA LLC</w:t>
            </w:r>
          </w:p>
        </w:tc>
        <w:tc>
          <w:tcPr>
            <w:tcW w:w="39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1,305,000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40"/>
          </w:cols>
          <w:pgMar w:left="440" w:top="270"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Free Writing Prospectuses Included in the Time of Sale Prospectus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020"/>
          </w:cols>
          <w:pgMar w:left="440" w:top="270" w:right="4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Permitted Section 5(d) 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020"/>
          </w:cols>
          <w:pgMar w:left="440" w:top="270"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ind w:left="3040"/>
        <w:spacing w:after="0"/>
        <w:rPr>
          <w:sz w:val="20"/>
          <w:szCs w:val="20"/>
          <w:color w:val="auto"/>
        </w:rPr>
      </w:pPr>
      <w:r>
        <w:rPr>
          <w:rFonts w:ascii="Arial" w:cs="Arial" w:eastAsia="Arial" w:hAnsi="Arial"/>
          <w:sz w:val="18"/>
          <w:szCs w:val="18"/>
          <w:b w:val="1"/>
          <w:bCs w:val="1"/>
          <w:u w:val="single" w:color="auto"/>
          <w:color w:val="auto"/>
        </w:rPr>
        <w:t>Form of Opinion of Company Counsel</w:t>
      </w:r>
    </w:p>
    <w:p>
      <w:pPr>
        <w:sectPr>
          <w:pgSz w:w="11900" w:h="16838" w:orient="portrait"/>
          <w:cols w:equalWidth="0" w:num="1">
            <w:col w:w="10020"/>
          </w:cols>
          <w:pgMar w:left="1440" w:top="270"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00" w:lineRule="exact"/>
        <w:rPr>
          <w:sz w:val="20"/>
          <w:szCs w:val="20"/>
          <w:color w:val="auto"/>
        </w:rPr>
      </w:pPr>
    </w:p>
    <w:p>
      <w:pPr>
        <w:spacing w:after="0" w:line="241" w:lineRule="exact"/>
        <w:rPr>
          <w:sz w:val="20"/>
          <w:szCs w:val="20"/>
          <w:color w:val="auto"/>
        </w:rPr>
      </w:pPr>
    </w:p>
    <w:p>
      <w:pPr>
        <w:ind w:left="2940"/>
        <w:spacing w:after="0"/>
        <w:rPr>
          <w:sz w:val="20"/>
          <w:szCs w:val="20"/>
          <w:color w:val="auto"/>
        </w:rPr>
      </w:pPr>
      <w:r>
        <w:rPr>
          <w:rFonts w:ascii="Arial" w:cs="Arial" w:eastAsia="Arial" w:hAnsi="Arial"/>
          <w:sz w:val="18"/>
          <w:szCs w:val="18"/>
          <w:b w:val="1"/>
          <w:bCs w:val="1"/>
          <w:u w:val="single" w:color="auto"/>
          <w:color w:val="auto"/>
        </w:rPr>
        <w:t>Form of Opinion of Xeris Patent Counsel</w:t>
      </w:r>
    </w:p>
    <w:p>
      <w:pPr>
        <w:sectPr>
          <w:pgSz w:w="11900" w:h="16838" w:orient="portrait"/>
          <w:cols w:equalWidth="0" w:num="1">
            <w:col w:w="10020"/>
          </w:cols>
          <w:pgMar w:left="1440" w:top="270" w:right="4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Lock-up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Piper Sandler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 Nicolette Mall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23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Xeris Pharmaceuticals, Inc.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&amp; Gentlemen: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undersigned is an executive officer or director of the Company or owner of shares of common stock, par value $0.0001 per share, of the Company (“</w:t>
      </w:r>
      <w:r>
        <w:rPr>
          <w:rFonts w:ascii="Arial" w:cs="Arial" w:eastAsia="Arial" w:hAnsi="Arial"/>
          <w:sz w:val="18"/>
          <w:szCs w:val="18"/>
          <w:b w:val="1"/>
          <w:bCs w:val="1"/>
          <w:color w:val="auto"/>
        </w:rPr>
        <w:t>Shares</w:t>
      </w:r>
      <w:r>
        <w:rPr>
          <w:rFonts w:ascii="Arial" w:cs="Arial" w:eastAsia="Arial" w:hAnsi="Arial"/>
          <w:sz w:val="18"/>
          <w:szCs w:val="18"/>
          <w:color w:val="auto"/>
        </w:rPr>
        <w:t>”) or of securities convertible into or exchangeable or exercisable for Shares. The Company proposes to conduct a public offering of Shares (the “</w:t>
      </w:r>
      <w:r>
        <w:rPr>
          <w:rFonts w:ascii="Arial" w:cs="Arial" w:eastAsia="Arial" w:hAnsi="Arial"/>
          <w:sz w:val="18"/>
          <w:szCs w:val="18"/>
          <w:b w:val="1"/>
          <w:bCs w:val="1"/>
          <w:color w:val="auto"/>
        </w:rPr>
        <w:t>Offering</w:t>
      </w:r>
      <w:r>
        <w:rPr>
          <w:rFonts w:ascii="Arial" w:cs="Arial" w:eastAsia="Arial" w:hAnsi="Arial"/>
          <w:sz w:val="18"/>
          <w:szCs w:val="18"/>
          <w:color w:val="auto"/>
        </w:rPr>
        <w:t>”) for which Jefferies LLC (“</w:t>
      </w:r>
      <w:r>
        <w:rPr>
          <w:rFonts w:ascii="Arial" w:cs="Arial" w:eastAsia="Arial" w:hAnsi="Arial"/>
          <w:sz w:val="18"/>
          <w:szCs w:val="18"/>
          <w:b w:val="1"/>
          <w:bCs w:val="1"/>
          <w:color w:val="auto"/>
        </w:rPr>
        <w:t>Jefferies</w:t>
      </w:r>
      <w:r>
        <w:rPr>
          <w:rFonts w:ascii="Arial" w:cs="Arial" w:eastAsia="Arial" w:hAnsi="Arial"/>
          <w:sz w:val="18"/>
          <w:szCs w:val="18"/>
          <w:color w:val="auto"/>
        </w:rPr>
        <w:t>”) and Piper Sandler &amp; Co. (“</w:t>
      </w:r>
      <w:r>
        <w:rPr>
          <w:rFonts w:ascii="Arial" w:cs="Arial" w:eastAsia="Arial" w:hAnsi="Arial"/>
          <w:sz w:val="18"/>
          <w:szCs w:val="18"/>
          <w:b w:val="1"/>
          <w:bCs w:val="1"/>
          <w:color w:val="auto"/>
        </w:rPr>
        <w:t>Piper</w:t>
      </w:r>
      <w:r>
        <w:rPr>
          <w:rFonts w:ascii="Arial" w:cs="Arial" w:eastAsia="Arial" w:hAnsi="Arial"/>
          <w:sz w:val="18"/>
          <w:szCs w:val="18"/>
          <w:color w:val="auto"/>
        </w:rPr>
        <w:t>”) will act as the representatives of the several underwriters. The undersigned recognizes that the Offering will benefit each of the Company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and other underwriting arrangements with the Company with respect to the Offering.</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Annex A sets forth definitions for capitalized terms used in this letter agreement that are not defined in the body of this agreement. Those definitions are a part of this agreement.</w:t>
      </w:r>
    </w:p>
    <w:p>
      <w:pPr>
        <w:spacing w:after="0" w:line="17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consideration of the foregoing, and for other good and valuable consideration, the receipt and sufficiency of which are hereby acknowledged, the undersigned hereby agrees that, during the Lock-up Period, the undersigned will not (and will cause any Family Member not to), subject to the exceptions set forth in this letter agreement without the prior written consent of Jefferies and Piper, which may withhold their consent in their sole discretion: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0"/>
          </w:cols>
          <w:pgMar w:left="440" w:top="270" w:right="439" w:bottom="1440" w:gutter="0" w:footer="0" w:header="0"/>
        </w:sectPr>
      </w:pPr>
    </w:p>
    <w:bookmarkStart w:id="44" w:name="page45"/>
    <w:bookmarkEnd w:id="44"/>
    <w:p>
      <w:pPr>
        <w:ind w:left="980" w:right="20" w:hanging="436"/>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Sell or Offer to Sell any Shares or Related Securities currently or hereafter owned either of record or beneficially (as defined in Rule 13d-3 under the Exchange Act) by the undersigned or such Family Member,</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enter into any Swap,</w:t>
      </w:r>
    </w:p>
    <w:p>
      <w:pPr>
        <w:spacing w:after="0" w:line="130" w:lineRule="exact"/>
        <w:rPr>
          <w:rFonts w:ascii="Arial" w:cs="Arial" w:eastAsia="Arial" w:hAnsi="Arial"/>
          <w:sz w:val="18"/>
          <w:szCs w:val="18"/>
          <w:color w:val="auto"/>
        </w:rPr>
      </w:pPr>
    </w:p>
    <w:p>
      <w:pPr>
        <w:ind w:left="980" w:right="140" w:hanging="436"/>
        <w:spacing w:after="0" w:line="26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p>
      <w:pPr>
        <w:spacing w:after="0" w:line="86" w:lineRule="exact"/>
        <w:rPr>
          <w:rFonts w:ascii="Arial" w:cs="Arial" w:eastAsia="Arial" w:hAnsi="Arial"/>
          <w:sz w:val="18"/>
          <w:szCs w:val="18"/>
          <w:color w:val="auto"/>
        </w:rPr>
      </w:pPr>
    </w:p>
    <w:p>
      <w:pPr>
        <w:ind w:left="980" w:hanging="436"/>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publicly announce any intention to do any of the foregoing.</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foregoing will not apply to the registration of the offer and sale of the Shares, and the sale of the Shares to the underwriters, in each case as contemplated by the Underwriting Agreement. In addition, the foregoing restrictions shall not apply to (a) the transfer of Shares or Related Securities by gift, or by will or intestate succession to a Family Member or to a trust whose beneficiaries consist exclusively of one or more of the undersigned and/or a Family Member, (b) pursuant to a court order in respect of, or by operation of law as a result of, a divorce, or (c) if the undersigned is a non-individual, transfer of Shares or Related Securities to any affiliate (as such term is defined in Rule 405 of the Securities Act), limited partners, general partners, limited liability company members, trust beneficiaries or stockholders of the undersigned, or, if the undersigned is a corporation, to any wholly owned subsidiary of such corporation, if, in any case, such transfer is not for value; provided, however, that for any of (a), (b) or (c), it shall be a condition to such transfer or disposition that:</w:t>
      </w:r>
    </w:p>
    <w:p>
      <w:pPr>
        <w:spacing w:after="0" w:line="98" w:lineRule="exact"/>
        <w:rPr>
          <w:sz w:val="20"/>
          <w:szCs w:val="20"/>
          <w:color w:val="auto"/>
        </w:rPr>
      </w:pPr>
    </w:p>
    <w:p>
      <w:pPr>
        <w:ind w:left="980" w:hanging="436"/>
        <w:spacing w:after="0" w:line="30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each transferee executes and delivers to Jefferies and Piper an agreement in form and substance satisfactory to Jefferies and Piper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 and</w:t>
      </w:r>
    </w:p>
    <w:p>
      <w:pPr>
        <w:spacing w:after="0" w:line="59" w:lineRule="exact"/>
        <w:rPr>
          <w:rFonts w:ascii="Arial" w:cs="Arial" w:eastAsia="Arial" w:hAnsi="Arial"/>
          <w:sz w:val="16"/>
          <w:szCs w:val="16"/>
          <w:color w:val="auto"/>
        </w:rPr>
      </w:pPr>
    </w:p>
    <w:p>
      <w:pPr>
        <w:ind w:left="980" w:hanging="436"/>
        <w:spacing w:after="0" w:line="30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prior to the expiration of the Lock-up Period, no public disclosure or filing under the Exchange Act, other than any required filing on Schedule 13G, Schedule 13G/A or Form 13F, by any party to the transfer (donor, donee, transferor or transferee) shall be required, or made voluntarily, reporting a reduction in beneficial ownership of Shares in connection with such transfer unless the undersigned shall include a statement describing the transaction as being a transfer to any affiliate (as such term is defined in Rule 405 of the Securities Act).</w:t>
      </w:r>
    </w:p>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Furthermore, notwithstanding the restrictions imposed by this letter agreement, the undersigned may (i) transfer Shares to the Company upon the exercise of options or warrants during the Lock-up Period to cover tax withholding obligations in connection with such exercise or for the primary purpose of paying the exercise price of options or warrants to acquire Shares, in each case pursuant to a stock option, stock bonus or other stock plan or arrangement or warrants existing as of the date hereof or described in the Prospectus (as defined in the Underwriting Agreement) and any Shares acquired upon such exercise shall remain subject to this letter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undersigned is required to file a report under the Exchange Act related thereto, such report shall include a statement to the effect that the filing relates to the “net” or “cashless” exercise of options to purchase shares of common stock for the purpose of</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000"/>
          </w:cols>
          <w:pgMar w:left="440" w:top="274" w:right="459" w:bottom="1440" w:gutter="0" w:footer="0" w:header="0"/>
        </w:sectPr>
      </w:pPr>
    </w:p>
    <w:bookmarkStart w:id="45" w:name="page46"/>
    <w:bookmarkEnd w:id="4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exercising such options, including, if applicable, the payment of taxes due as a result of such exercise, (ii) establish a trading plan pursuant to Rule 10b5-1 of the Exchange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sales or other dispositions of Shares or Related Securities may occur under such plan during the Lock-up Period and no public announcement or filing under the Exchange Act regarding the establishment of such plan shall be required or made during the Lock-up Period, (iii) the transfer of the undersigned’s Shares or Related Securities pursuant to a bona fide third-party offer for all outstanding voting stock of the Company, whether pursuant to a merger, tender offer or otherwise, to a third party or group of third parties,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such merger, tender offer or other transaction is not consummated, such Shares or Related Securities held by the undersigned shall remain subject to the restrictions on transfer set forth herein, (iv) transfer or dispose of Shares or Related Securities acquired in open market transactions after the completion of the Offering, (v) transfer or dispose of Shares or Related Securities acquired in the Offering or (vi) transfers of Shares or Related Securities by the undersigned pursuant to sales in the public market undertaken by the undersigned under a trading plan pursuant to Rule 10b5-1 under the Exchange Act,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trading plan shall have been in effect prior to the date hereof;</w:t>
      </w:r>
      <w:r>
        <w:rPr>
          <w:rFonts w:ascii="Arial" w:cs="Arial" w:eastAsia="Arial" w:hAnsi="Arial"/>
          <w:sz w:val="17"/>
          <w:szCs w:val="17"/>
          <w:i w:val="1"/>
          <w:iCs w:val="1"/>
          <w:color w:val="auto"/>
        </w:rPr>
        <w:t xml:space="preserve"> provided </w:t>
      </w:r>
      <w:r>
        <w:rPr>
          <w:rFonts w:ascii="Arial" w:cs="Arial" w:eastAsia="Arial" w:hAnsi="Arial"/>
          <w:sz w:val="17"/>
          <w:szCs w:val="17"/>
          <w:color w:val="auto"/>
        </w:rPr>
        <w:t>that in the case of (i) and (vi) above, if the undersigned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required to make a filing under the Exchange Act reporting a reduction in beneficial ownership of Shares during the Lock-up Period, the undersigned shall include a statement describing the purpose of the transaction and/or that the sale was made pursuant to a trading plan pursuant to Rule 10b5-1 under the Exchange Act, </w:t>
      </w:r>
      <w:r>
        <w:rPr>
          <w:rFonts w:ascii="Arial" w:cs="Arial" w:eastAsia="Arial" w:hAnsi="Arial"/>
          <w:sz w:val="17"/>
          <w:szCs w:val="17"/>
          <w:i w:val="1"/>
          <w:iCs w:val="1"/>
          <w:color w:val="auto"/>
        </w:rPr>
        <w:t>provided further</w:t>
      </w:r>
      <w:r>
        <w:rPr>
          <w:rFonts w:ascii="Arial" w:cs="Arial" w:eastAsia="Arial" w:hAnsi="Arial"/>
          <w:sz w:val="17"/>
          <w:szCs w:val="17"/>
          <w:color w:val="auto"/>
        </w:rPr>
        <w:t>, that in the case of (iv) and (v) above, no public announcement or filing under the Exchange Act, other than any required filing on Schedule 13G, Schedule 13G/A or Form 13F, shall be required or voluntarily made by the undersigned in connection with such transfer during the Lock-up Period.</w:t>
      </w:r>
    </w:p>
    <w:p>
      <w:pPr>
        <w:spacing w:after="0" w:line="18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If the undersigned is an officer or director of the Company, the undersigned further agrees that the foregoing provisions shall be equally applicable to any Company-directed Shares the undersigned may purchase or otherwise receive in the Offering (including pursuant to a directed share program).</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Shares or Related Securities held by the undersigned and the undersigned’s Family Members, if any, except in compliance with the foregoing restrictions.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spacing w:after="0" w:line="18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cause any Family Member not to take, directly or indirectly, any such action.</w:t>
      </w:r>
    </w:p>
    <w:p>
      <w:pPr>
        <w:spacing w:after="0" w:line="14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w:t>
      </w:r>
    </w:p>
    <w:p>
      <w:pPr>
        <w:spacing w:after="0" w:line="14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This letter agreement shall automatically terminate and be of no further effect upon the earliest to occur, if any, of (i) Jefferies and Piper, on the one hand, or the Company, on the other hand, advising the other party in writing, prior to the execution of the Underwriting Agreement, that it has determined not to proceed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0980"/>
          </w:cols>
          <w:pgMar w:left="440" w:top="274" w:right="479" w:bottom="1440" w:gutter="0" w:footer="0" w:header="0"/>
        </w:sectPr>
      </w:pPr>
    </w:p>
    <w:bookmarkStart w:id="46" w:name="page47"/>
    <w:bookmarkEnd w:id="46"/>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the Offering, (ii) the termination of the Underwriting Agreement before the sale of Shares to the underwriters, (iii) the registration statement filed with the Securities and Exchange Commission with respect to the Offering is withdrawn, and (iv) March 31, 2020, in the event that the Underwriting Agreement has not been executed by such date (provided that the Company may by written notice to the undersigned prior to March 31, 2020, extend such date for a period of up to three additional months).</w:t>
      </w:r>
    </w:p>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This letter agreement shall be governed by, and construed in accordance with, the laws of the State of New York.</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000"/>
          </w:cols>
          <w:pgMar w:left="440" w:top="274"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457835</wp:posOffset>
            </wp:positionV>
            <wp:extent cx="27959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95905" cy="8890"/>
                    </a:xfrm>
                    <a:prstGeom prst="rect">
                      <a:avLst/>
                    </a:prstGeom>
                    <a:noFill/>
                  </pic:spPr>
                </pic:pic>
              </a:graphicData>
            </a:graphic>
          </wp:anchor>
        </w:drawing>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289560</wp:posOffset>
            </wp:positionV>
            <wp:extent cx="27959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Printed Name of Person Signing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(Indicate capacity of person signing if signing as custodian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 trustee, or on behalf of an entity)</w:t>
      </w:r>
    </w:p>
    <w:p>
      <w:pPr>
        <w:spacing w:after="0" w:line="14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0019"/>
          </w:cols>
          <w:pgMar w:left="440" w:top="733"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Directors and Officers Signing Lock-Up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BJ Bormann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Dawn Halkuff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Marla Persky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Schmid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Jeffrey Sherman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Theirer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Paul Edick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Barry Deutsch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Shannon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Steven Prestrelski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Ken Johnson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Beth Hecht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020"/>
          </w:cols>
          <w:pgMar w:left="440" w:top="270" w:right="4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Xeris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180 N. LaSalle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60601</w:t>
      </w:r>
    </w:p>
    <w:p>
      <w:pPr>
        <w:spacing w:after="0" w:line="23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Registered under Registration Statement on Form S-3</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acted as counsel to you in connection with your filing of a Registration Statement on Form S-3 (File No. 333- 233061) (as amended or supplemented, the “Registration Statement”) filed on August 6, 2019 with the Securities and Exchange Commission (the “Commission”) pursuant to the Securities Act of 1933, as amended (the “Securities Act”), relating to the registration of the offer by Xeris Pharmaceuticals, Inc., a Delaware corporation (the “Company”) of up to $250,000,000 of any combination of securities of the types specified therein. The Registration Statement was declared effective by the Commission on August 21, 2019. Reference is made to our opinion letter dated August 6, 2019 and included as Exhibit 5.1 to the Registration Statement. We are delivering this supplemental opinion letter in connection with the prospectus supplement (the “Prospectus Supplement”) filed on February 13, 2020 by the Company with the Commission pursuant to Rule 424 under the Securities Act. The Prospectus Supplement relates to the offering by the Company of up to 10,350,000 shares of the Company’s Common Stock, par value $0.0001 per share (the “Shares”) covered by the Registration Statement. The Shares include an over-allotment option granted to the underwriters of the offering to purchase 1,035,000 Shares. The Shares are being sold to the several underwriters named in, and pursuant to, an underwriting agreement among the Company and such underwriters (the “Underwriting Agreement”).</w:t>
      </w:r>
    </w:p>
    <w:p>
      <w:pPr>
        <w:spacing w:after="0" w:line="1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Based on the foregoing, we are of the opinion that the Shares have been duly authorized and, upon issuance and delivery against payment therefor in accordance with the terms of the Underwriting Agreement, the Shares will be validly issued, fully paid and non-assessable.</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1020"/>
          </w:cols>
          <w:pgMar w:left="440" w:top="121" w:right="4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1595120" cy="557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951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XERIS PHARMACEUTICALS ANNOUNCES PROPOSED PUBLIC OFFERING OF 6,000,000 SHARES OF COMMON STOCK</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CHICAGO, IL; February 10, 2020 </w:t>
      </w:r>
      <w:r>
        <w:rPr>
          <w:rFonts w:ascii="Arial" w:cs="Arial" w:eastAsia="Arial" w:hAnsi="Arial"/>
          <w:sz w:val="18"/>
          <w:szCs w:val="18"/>
          <w:color w:val="auto"/>
        </w:rPr>
        <w:t>– Xeris Pharmaceuticals, Inc. (Nasdaq: XERS), a specialty pharmaceutical company leveraging its novel</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platforms to develop and commercialize ready-to-use injectable and infusible drug formulations, today announced that it has commenced an underwritten public offering of 6,000,000 shares of its common stock. All shares of common stock will be offered by Xeris. Xeris expects to grant the underwriters a 30-day option to purchase up to an additional 15% of the number of shares of common stock sold in connection with the offering. The offering is subject to market and other conditions, and there can be no assurance as to whether or when the offering may be completed, or as to the actual size or terms of the offering.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Jefferies, Piper Sandler, RBC Capital Markets and Mizuho Securities are acting as joint book running managers for the offering.</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shares of common stock are offered pursuant to a shelf registration statement on Form S-3 (File No. 333-233061), including a base prospectus, filed by Xeris on August 6, 2019 and declared effective by the Securities and Exchange Commission, or SEC, on August 21, 2019. The offering will be made only by means of a prospectus. A preliminary prospectus supplement related to the offering and a final prospectus supplement related to the offering will be filed with the SEC. When available, copies of the preliminary prospectus supplement and accompanying prospectus relating to the offering can be obtained from Jefferies LLC, Attention: Equity Syndicate Prospectus Departments, 520 Madison Avenue, 2nd Floor, New York, NY 10022; by phone at</w:t>
      </w:r>
    </w:p>
    <w:p>
      <w:pPr>
        <w:spacing w:after="0" w:line="2" w:lineRule="exact"/>
        <w:rPr>
          <w:sz w:val="20"/>
          <w:szCs w:val="20"/>
          <w:color w:val="auto"/>
        </w:rPr>
      </w:pPr>
    </w:p>
    <w:p>
      <w:pPr>
        <w:ind w:right="140" w:firstLine="4"/>
        <w:spacing w:after="0" w:line="271" w:lineRule="auto"/>
        <w:tabs>
          <w:tab w:leader="none" w:pos="4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821-7388; or by email at Prospectus_Department@Jefferies.com; Piper Sandler &amp; Co., Attn: Prospectus Department, 800 Nicollet Mall, J12S03, Minneapolis, Minnesota 55402, by phone at (800) 747-3924; or by email at prospectus@psc.com; RBC Capital Markets LLC, Attention: Equity Syndicate Department, 200 Vesey Street, 8th Floor, New York, NY 10281; by phone at (877) 822-4089; or by email at equityprospectus@rbccm.com; or Mizuho Securities USA LLC, Attention: Equity Capital Markets, 1271 Avenue of the Americas, 3</w:t>
      </w:r>
      <w:r>
        <w:rPr>
          <w:rFonts w:ascii="Arial" w:cs="Arial" w:eastAsia="Arial" w:hAnsi="Arial"/>
          <w:sz w:val="14"/>
          <w:szCs w:val="14"/>
          <w:color w:val="auto"/>
        </w:rPr>
        <w:t>rd</w:t>
      </w:r>
      <w:r>
        <w:rPr>
          <w:rFonts w:ascii="Arial" w:cs="Arial" w:eastAsia="Arial" w:hAnsi="Arial"/>
          <w:sz w:val="17"/>
          <w:szCs w:val="17"/>
          <w:color w:val="auto"/>
        </w:rPr>
        <w:t xml:space="preserve"> Floor, New York, NY 10020; by phone at (212) 205-7600; or by email at US-ECM@mizuhogroup.com, or by accessing the SEC’s website, www.sec.gov.</w:t>
      </w:r>
    </w:p>
    <w:p>
      <w:pPr>
        <w:spacing w:after="0" w:line="1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offer or sale of these securities in any state or other jurisdiction in which such offer, solicitation or sale would be unlawful prior to the registration or qualification under the securities laws of any such state or other jurisdiction.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Xeris Pharmaceuticals, Inc.</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Xeris is a specialty pharmaceutical company delivering innovative solutions to simplify the experience of administering important therapies that people rely on every day around the world.</w:t>
      </w:r>
    </w:p>
    <w:p>
      <w:pPr>
        <w:sectPr>
          <w:pgSz w:w="11900" w:h="16838" w:orient="portrait"/>
          <w:cols w:equalWidth="0" w:num="1">
            <w:col w:w="11020"/>
          </w:cols>
          <w:pgMar w:left="440" w:top="121" w:right="439" w:bottom="1440" w:gutter="0" w:footer="0" w:header="0"/>
        </w:sectPr>
      </w:pPr>
    </w:p>
    <w:bookmarkStart w:id="51" w:name="page52"/>
    <w:bookmarkEnd w:id="51"/>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novel technology platform that enables ready-to-use, room-temperature stable formulations of injectable and infusible therapies, the company is advancing a portfolio of solutions in various therapeutic categories, including its first commercial product, Gvoke</w:t>
      </w:r>
      <w:r>
        <w:rPr>
          <w:rFonts w:ascii="Arial" w:cs="Arial" w:eastAsia="Arial" w:hAnsi="Arial"/>
          <w:sz w:val="14"/>
          <w:szCs w:val="14"/>
          <w:color w:val="auto"/>
        </w:rPr>
        <w:t>™</w:t>
      </w:r>
      <w:r>
        <w:rPr>
          <w:rFonts w:ascii="Arial" w:cs="Arial" w:eastAsia="Arial" w:hAnsi="Arial"/>
          <w:sz w:val="17"/>
          <w:szCs w:val="17"/>
          <w:color w:val="auto"/>
        </w:rPr>
        <w:t>. Its proprietary XeriSol</w:t>
      </w:r>
      <w:r>
        <w:rPr>
          <w:rFonts w:ascii="Arial" w:cs="Arial" w:eastAsia="Arial" w:hAnsi="Arial"/>
          <w:sz w:val="14"/>
          <w:szCs w:val="14"/>
          <w:color w:val="auto"/>
        </w:rPr>
        <w:t>™</w:t>
      </w:r>
      <w:r>
        <w:rPr>
          <w:rFonts w:ascii="Arial" w:cs="Arial" w:eastAsia="Arial" w:hAnsi="Arial"/>
          <w:sz w:val="17"/>
          <w:szCs w:val="17"/>
          <w:color w:val="auto"/>
        </w:rPr>
        <w:t xml:space="preserve"> and XeriJect</w:t>
      </w:r>
      <w:r>
        <w:rPr>
          <w:rFonts w:ascii="Arial" w:cs="Arial" w:eastAsia="Arial" w:hAnsi="Arial"/>
          <w:sz w:val="14"/>
          <w:szCs w:val="14"/>
          <w:color w:val="auto"/>
        </w:rPr>
        <w:t>™</w:t>
      </w:r>
      <w:r>
        <w:rPr>
          <w:rFonts w:ascii="Arial" w:cs="Arial" w:eastAsia="Arial" w:hAnsi="Arial"/>
          <w:sz w:val="17"/>
          <w:szCs w:val="17"/>
          <w:color w:val="auto"/>
        </w:rPr>
        <w:t xml:space="preserve"> formulation technologies have the potential to offer distinct advantages over conventional product formulations, including eliminating the need for reconstitution, enabling long-term, room-temperature stability, significantly reducing injection volume, and eliminating the requirement for intravenous (IV) infusion. With Xeris’ technology, new product formulations are designed to be easier to use by patients, caregivers, and health practitioners and help reduce costs for payers and the healthcare system.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Any statements in this press release about future expectations, plans and prospects for Xeris Pharmaceuticals, Inc., including statements about Xeris’ anticipated public offering, future expectations, plans and prospects for the Company and other statements containing the words “may,” “will,” “could,” “should,” “expects,” “intends,” “target,”, “contemplates,” “plans,” “anticipates,” “believes,” “estimates,” “predicts,” “projects,” “potential,” or “continue,”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without limitation, the uncertainties related to market conditions and the completion of the public offering on the anticipated terms or at all, the market acceptance of Gvoke</w:t>
      </w:r>
      <w:r>
        <w:rPr>
          <w:rFonts w:ascii="Arial" w:cs="Arial" w:eastAsia="Arial" w:hAnsi="Arial"/>
          <w:sz w:val="14"/>
          <w:szCs w:val="14"/>
          <w:color w:val="auto"/>
        </w:rPr>
        <w:t>™</w:t>
      </w:r>
      <w:r>
        <w:rPr>
          <w:rFonts w:ascii="Arial" w:cs="Arial" w:eastAsia="Arial" w:hAnsi="Arial"/>
          <w:sz w:val="17"/>
          <w:szCs w:val="17"/>
          <w:color w:val="auto"/>
        </w:rPr>
        <w:t xml:space="preserve"> and any other product candidates, if approved, the regulatory approval of its product candidates, its ability to market and sell its products, if approved, and other factors discussed in the “Risk Factors” section of Xeris’ Annual Report on Form 10-K for the year ended December 31, 2018, which is on file with the SEC, as updated by any subsequently filed SEC filings, including Xeris’ Quarterly Reports on Form 10-Q, and the “Risk Factors” section of Xeris’ prospectus supplement and accompanying prospectus related to this public offering. Any forward-looking statements contained in this press release speak only as of the date hereof, and Xeris expressly disclaims any obligation to update any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Allison Wey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Investor Relations and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awey@xerispharma.com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312-736-1237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media@xerispharma.com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1595120" cy="557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951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XERIS PHARMACEUTICALS ANNOUNCES PRICING OF PUBLIC OFFERING OF SHARES OF COMMON STOCK</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CHICAGO, IL; February 11, 2020 </w:t>
      </w:r>
      <w:r>
        <w:rPr>
          <w:rFonts w:ascii="Arial" w:cs="Arial" w:eastAsia="Arial" w:hAnsi="Arial"/>
          <w:sz w:val="18"/>
          <w:szCs w:val="18"/>
          <w:color w:val="auto"/>
        </w:rPr>
        <w:t>– Xeris Pharmaceuticals, Inc. (Nasdaq: XERS), a specialty pharmaceutical company leveraging its novel</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platforms to develop and commercialize ready-to-use injectable and infusible drug formulations, today announced the pricing of an underwritten public offering of 9,000,000 shares of its common stock at a public offering price of $4.15 per share, before underwriting discounts and commissions and other offering expenses, for gross proceeds of approximately $37.4 million. All shares of common stock will be offered by Xeris. The Company has also granted the underwriters a 30-day option to purchase from the Company up to an additional 1,350,000 shares of common stock at the public offering price, less underwriting discounts and commissions. The offering is expected to close on February 14, 2020, subject to customary closing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Jefferies, Piper Sandler, RBC Capital Markets and Mizuho Securities are acting as joint book running managers for the offering.</w:t>
      </w:r>
    </w:p>
    <w:p>
      <w:pPr>
        <w:spacing w:after="0" w:line="225"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The shares of common stock were offered pursuant to a shelf registration statement on Form S-3 (File No. 333-233061), including a base prospectus, filed by Xeris on August 6, 2019 and declared effective by the Securities and Exchange Commission, or SEC, on August 21, 2019. The offering was made only by means of a prospectus. A preliminary prospectus supplement and accompanying prospectus related to the offering was filed with the SEC on February 11, 2020 and is available at the SEC’s website at www.sec.gov. A final prospectus supplement related to the offering will be filed with the SEC. When available, a copy of the final prospectus supplement and accompanying prospectus can be obtained from Jefferies LLC, Attention: Equity Syndicate Prospectus Department, 520 Madison Avenue, 2nd Floor, New York, NY 10022; by phone at (877) 821-7388; or by email</w:t>
      </w:r>
    </w:p>
    <w:p>
      <w:pPr>
        <w:spacing w:after="0" w:line="5"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at Prospectus_Department@Jefferies.com; Piper Sandler &amp; Co., Attn: Prospectus Department, 800 Nicollet Mall, J12S03, Minneapolis, Minnesota 55402; by phone at (800) 747-3924; or by email at prospectus@psc.com; RBC Capital Markets, LLC, Attention: Equity Syndicate Department, 200 Vesey Street, 8th Floor, New York, NY 10281; by phone at (877) 822-4089; or by email at equityprospectus@rbccm.com; or Mizuho Securities USA LLC, Attention: Equity Capital Markets, 1271 Avenue of the Americas, 3rd Floor, New York, NY 10020; by phone at (212) 205-7600; or by email at US-ECM@mizuhogroup.com.</w:t>
      </w:r>
    </w:p>
    <w:p>
      <w:pPr>
        <w:spacing w:after="0" w:line="19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offer or sale of these securities in any state or other jurisdiction in which such offer, solicitation or sale would be unlawful prior to the registration or qualification under the securities laws of any such state or other jurisdiction.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Xeris Pharmaceuticals, Inc.</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Xeris is a specialty pharmaceutical company delivering innovative solutions to simplify the experience of administering important therapies that people rely on every day around the world.</w:t>
      </w:r>
    </w:p>
    <w:p>
      <w:pPr>
        <w:sectPr>
          <w:pgSz w:w="11900" w:h="16838" w:orient="portrait"/>
          <w:cols w:equalWidth="0" w:num="1">
            <w:col w:w="11020"/>
          </w:cols>
          <w:pgMar w:left="440" w:top="121" w:right="439" w:bottom="1440" w:gutter="0" w:footer="0" w:header="0"/>
        </w:sectPr>
      </w:pPr>
    </w:p>
    <w:bookmarkStart w:id="53" w:name="page54"/>
    <w:bookmarkEnd w:id="53"/>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novel technology platform that enables ready-to-use, room-temperature stable formulations of injectable and infusible therapies, the company is advancing a portfolio of solutions in various therapeutic categories, including its first commercial product, Gvoke</w:t>
      </w:r>
      <w:r>
        <w:rPr>
          <w:rFonts w:ascii="Arial" w:cs="Arial" w:eastAsia="Arial" w:hAnsi="Arial"/>
          <w:sz w:val="14"/>
          <w:szCs w:val="14"/>
          <w:color w:val="auto"/>
        </w:rPr>
        <w:t>™</w:t>
      </w:r>
      <w:r>
        <w:rPr>
          <w:rFonts w:ascii="Arial" w:cs="Arial" w:eastAsia="Arial" w:hAnsi="Arial"/>
          <w:sz w:val="17"/>
          <w:szCs w:val="17"/>
          <w:color w:val="auto"/>
        </w:rPr>
        <w:t>. Its proprietary XeriSol</w:t>
      </w:r>
      <w:r>
        <w:rPr>
          <w:rFonts w:ascii="Arial" w:cs="Arial" w:eastAsia="Arial" w:hAnsi="Arial"/>
          <w:sz w:val="14"/>
          <w:szCs w:val="14"/>
          <w:color w:val="auto"/>
        </w:rPr>
        <w:t>™</w:t>
      </w:r>
      <w:r>
        <w:rPr>
          <w:rFonts w:ascii="Arial" w:cs="Arial" w:eastAsia="Arial" w:hAnsi="Arial"/>
          <w:sz w:val="17"/>
          <w:szCs w:val="17"/>
          <w:color w:val="auto"/>
        </w:rPr>
        <w:t xml:space="preserve"> and XeriJect</w:t>
      </w:r>
      <w:r>
        <w:rPr>
          <w:rFonts w:ascii="Arial" w:cs="Arial" w:eastAsia="Arial" w:hAnsi="Arial"/>
          <w:sz w:val="14"/>
          <w:szCs w:val="14"/>
          <w:color w:val="auto"/>
        </w:rPr>
        <w:t>™</w:t>
      </w:r>
      <w:r>
        <w:rPr>
          <w:rFonts w:ascii="Arial" w:cs="Arial" w:eastAsia="Arial" w:hAnsi="Arial"/>
          <w:sz w:val="17"/>
          <w:szCs w:val="17"/>
          <w:color w:val="auto"/>
        </w:rPr>
        <w:t xml:space="preserve"> formulation technologies have the potential to offer distinct advantages over conventional product formulations, including eliminating the need for reconstitution, enabling long-term, room-temperature stability, significantly reducing injection volume, and eliminating the requirement for intravenous (IV) infusion. With Xeris’ technology, new product formulations are designed to be easier to use by patients, caregivers, and health practitioners and help reduce costs for payers and the healthcare system.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Any statements in this press release about future expectations, plans and prospects for Xeris Pharmaceuticals, Inc., including statements about Xeris’ public offering, including amounts sold and expected timing of closing, future expectations, plans and prospects for the Company and other statements containing the words “may,” “will,” “could,” “should,” “expects,” “intends,” “target,” “contemplates,” “plans,” “anticipates,” “believes,” “estimates,” “predicts,” “projects,” “potential,” or “continue,”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without limitation: uncertainties related to market conditions and the completion of the public offering on the anticipated terms or at all, the market acceptance of Gvoke</w:t>
      </w:r>
      <w:r>
        <w:rPr>
          <w:rFonts w:ascii="Arial" w:cs="Arial" w:eastAsia="Arial" w:hAnsi="Arial"/>
          <w:sz w:val="13"/>
          <w:szCs w:val="13"/>
          <w:color w:val="auto"/>
        </w:rPr>
        <w:t>TM</w:t>
      </w:r>
      <w:r>
        <w:rPr>
          <w:rFonts w:ascii="Arial" w:cs="Arial" w:eastAsia="Arial" w:hAnsi="Arial"/>
          <w:sz w:val="16"/>
          <w:szCs w:val="16"/>
          <w:color w:val="auto"/>
        </w:rPr>
        <w:t xml:space="preserve"> and any other product candidates, if approved, the regulatory approval of its product candidates, its ability to market and sell its products, if approved, and other factors discussed in the “Risk Factors” section of Xeris’ Annual Report on Form 10-K for the year ended December 31, 2018, which is on file with the SEC, as updated by any subsequently filed SEC filings, including Xeris’ Quarterly Reports on Form 10-Q, and the “Risk Factors” section of Xeris’ prospectus supplement and accompanying prospectus related to this public offering. Any forward-looking statements contained in this press release speak only as of the date hereof, and Xeris expressly disclaims any obligation to update any forward-looking statements, whether as a result of new information, future events or otherwise.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Allison Wey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Investor Relations and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awey@xerispharma.com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312-736-1237</w:t>
      </w:r>
    </w:p>
    <w:sectPr>
      <w:pgSz w:w="11900" w:h="16838" w:orient="portrait"/>
      <w:cols w:equalWidth="0" w:num="1">
        <w:col w:w="10900"/>
      </w:cols>
      <w:pgMar w:left="440" w:top="2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lowerLetter"/>
      <w:start w:val="1"/>
    </w:lvl>
  </w:abstractNum>
  <w:abstractNum w:abstractNumId="2">
    <w:nsid w:val="436C6125"/>
    <w:multiLevelType w:val="hybridMultilevel"/>
    <w:lvl w:ilvl="0">
      <w:lvlJc w:val="left"/>
      <w:lvlText w:val="%1"/>
      <w:numFmt w:val="lowerLetter"/>
      <w:start w:val="1"/>
    </w:lvl>
    <w:lvl w:ilvl="1">
      <w:lvlJc w:val="left"/>
      <w:lvlText w:val="(%2)"/>
      <w:numFmt w:val="lowerLetter"/>
      <w:start w:val="3"/>
    </w:lvl>
  </w:abstractNum>
  <w:abstractNum w:abstractNumId="3">
    <w:nsid w:val="628C895D"/>
    <w:multiLevelType w:val="hybridMultilevel"/>
    <w:lvl w:ilvl="0">
      <w:lvlJc w:val="left"/>
      <w:lvlText w:val="(%1)"/>
      <w:numFmt w:val="lowerLetter"/>
      <w:start w:val="9"/>
    </w:lvl>
    <w:lvl w:ilvl="1">
      <w:lvlJc w:val="left"/>
      <w:lvlText w:val="%2"/>
      <w:numFmt w:val="lowerLetter"/>
      <w:start w:val="1"/>
    </w:lvl>
  </w:abstractNum>
  <w:abstractNum w:abstractNumId="4">
    <w:nsid w:val="333AB105"/>
    <w:multiLevelType w:val="hybridMultilevel"/>
    <w:lvl w:ilvl="0">
      <w:lvlJc w:val="left"/>
      <w:lvlText w:val="(%1)"/>
      <w:numFmt w:val="lowerLetter"/>
      <w:start w:val="9"/>
    </w:lvl>
  </w:abstractNum>
  <w:abstractNum w:abstractNumId="5">
    <w:nsid w:val="721DA317"/>
    <w:multiLevelType w:val="hybridMultilevel"/>
    <w:lvl w:ilvl="0">
      <w:lvlJc w:val="left"/>
      <w:lvlText w:val="(%1)"/>
      <w:numFmt w:val="lowerLetter"/>
      <w:start w:val="11"/>
    </w:lvl>
  </w:abstractNum>
  <w:abstractNum w:abstractNumId="6">
    <w:nsid w:val="2443A858"/>
    <w:multiLevelType w:val="hybridMultilevel"/>
    <w:lvl w:ilvl="0">
      <w:lvlJc w:val="left"/>
      <w:lvlText w:val="(%1)"/>
      <w:numFmt w:val="lowerLetter"/>
      <w:start w:val="15"/>
    </w:lvl>
  </w:abstractNum>
  <w:abstractNum w:abstractNumId="7">
    <w:nsid w:val="2D1D5AE9"/>
    <w:multiLevelType w:val="hybridMultilevel"/>
    <w:lvl w:ilvl="0">
      <w:lvlJc w:val="left"/>
      <w:lvlText w:val="(%1)"/>
      <w:numFmt w:val="lowerLetter"/>
      <w:start w:val="61"/>
    </w:lvl>
    <w:lvl w:ilvl="1">
      <w:lvlJc w:val="left"/>
      <w:lvlText w:val="(%2)"/>
      <w:numFmt w:val="lowerLetter"/>
      <w:start w:val="18"/>
    </w:lvl>
  </w:abstractNum>
  <w:abstractNum w:abstractNumId="8">
    <w:nsid w:val="6763845E"/>
    <w:multiLevelType w:val="hybridMultilevel"/>
    <w:lvl w:ilvl="0">
      <w:lvlJc w:val="left"/>
      <w:lvlText w:val="(%1)"/>
      <w:numFmt w:val="upperLetter"/>
      <w:start w:val="2"/>
    </w:lvl>
    <w:lvl w:ilvl="1">
      <w:lvlJc w:val="left"/>
      <w:lvlText w:val="(%2)"/>
      <w:numFmt w:val="lowerLetter"/>
      <w:start w:val="21"/>
    </w:lvl>
  </w:abstractNum>
  <w:abstractNum w:abstractNumId="9">
    <w:nsid w:val="75A2A8D4"/>
    <w:multiLevelType w:val="hybridMultilevel"/>
    <w:lvl w:ilvl="0">
      <w:lvlJc w:val="left"/>
      <w:lvlText w:val="%1"/>
      <w:numFmt w:val="lowerLetter"/>
      <w:start w:val="1"/>
    </w:lvl>
    <w:lvl w:ilvl="1">
      <w:lvlJc w:val="left"/>
      <w:lvlText w:val="(%2)"/>
      <w:numFmt w:val="lowerLetter"/>
      <w:start w:val="25"/>
    </w:lvl>
  </w:abstractNum>
  <w:abstractNum w:abstractNumId="10">
    <w:nsid w:val="8EDBDAB"/>
    <w:multiLevelType w:val="hybridMultilevel"/>
    <w:lvl w:ilvl="0">
      <w:lvlJc w:val="left"/>
      <w:lvlText w:val="(%1)"/>
      <w:numFmt w:val="lowerLetter"/>
      <w:start w:val="25"/>
    </w:lvl>
    <w:lvl w:ilvl="1">
      <w:lvlJc w:val="left"/>
      <w:lvlText w:val="%2"/>
      <w:numFmt w:val="lowerLetter"/>
      <w:start w:val="1"/>
    </w:lvl>
  </w:abstractNum>
  <w:abstractNum w:abstractNumId="11">
    <w:nsid w:val="79838CB2"/>
    <w:multiLevelType w:val="hybridMultilevel"/>
    <w:lvl w:ilvl="0">
      <w:lvlJc w:val="left"/>
      <w:lvlText w:val="(%1)"/>
      <w:numFmt w:val="lowerLetter"/>
      <w:start w:val="27"/>
    </w:lvl>
  </w:abstractNum>
  <w:abstractNum w:abstractNumId="12">
    <w:nsid w:val="4353D0CD"/>
    <w:multiLevelType w:val="hybridMultilevel"/>
    <w:lvl w:ilvl="0">
      <w:lvlJc w:val="left"/>
      <w:lvlText w:val="(%1)"/>
      <w:numFmt w:val="lowerLetter"/>
      <w:start w:val="35"/>
    </w:lvl>
  </w:abstractNum>
  <w:abstractNum w:abstractNumId="13">
    <w:nsid w:val="B03E0C6"/>
    <w:multiLevelType w:val="hybridMultilevel"/>
    <w:lvl w:ilvl="0">
      <w:lvlJc w:val="left"/>
      <w:lvlText w:val="(%1)"/>
      <w:numFmt w:val="lowerLetter"/>
      <w:start w:val="40"/>
    </w:lvl>
  </w:abstractNum>
  <w:abstractNum w:abstractNumId="14">
    <w:nsid w:val="189A769B"/>
    <w:multiLevelType w:val="hybridMultilevel"/>
    <w:lvl w:ilvl="0">
      <w:lvlJc w:val="left"/>
      <w:lvlText w:val="(%1)"/>
      <w:numFmt w:val="lowerLetter"/>
      <w:start w:val="26"/>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lowerLetter"/>
      <w:start w:val="9"/>
    </w:lvl>
    <w:lvl w:ilvl="1">
      <w:lvlJc w:val="left"/>
      <w:lvlText w:val="(%2)"/>
      <w:numFmt w:val="lowerLetter"/>
      <w:start w:val="4"/>
    </w:lvl>
    <w:lvl w:ilvl="2">
      <w:lvlJc w:val="left"/>
      <w:lvlText w:val="(%3)"/>
      <w:numFmt w:val="lowerLetter"/>
      <w:start w:val="35"/>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1)"/>
      <w:numFmt w:val="lowerLetter"/>
      <w:start w:val="4"/>
    </w:lvl>
  </w:abstractNum>
  <w:abstractNum w:abstractNumId="19">
    <w:nsid w:val="2901D82"/>
    <w:multiLevelType w:val="hybridMultilevel"/>
    <w:lvl w:ilvl="0">
      <w:lvlJc w:val="left"/>
      <w:lvlText w:val="(%1)"/>
      <w:numFmt w:val="lowerLetter"/>
      <w:start w:val="8"/>
    </w:lvl>
  </w:abstractNum>
  <w:abstractNum w:abstractNumId="20">
    <w:nsid w:val="3A95F874"/>
    <w:multiLevelType w:val="hybridMultilevel"/>
    <w:lvl w:ilvl="0">
      <w:lvlJc w:val="left"/>
      <w:lvlText w:val="%1"/>
      <w:numFmt w:val="lowerRoman"/>
      <w:start w:val="1"/>
    </w:lvl>
    <w:lvl w:ilvl="1">
      <w:lvlJc w:val="left"/>
      <w:lvlText w:val="(%2)"/>
      <w:numFmt w:val="lowerLetter"/>
      <w:start w:val="13"/>
    </w:lvl>
  </w:abstractNum>
  <w:abstractNum w:abstractNumId="21">
    <w:nsid w:val="8138641"/>
    <w:multiLevelType w:val="hybridMultilevel"/>
    <w:lvl w:ilvl="0">
      <w:lvlJc w:val="left"/>
      <w:lvlText w:val="(%1)"/>
      <w:numFmt w:val="lowerRoman"/>
      <w:start w:val="4"/>
    </w:lvl>
    <w:lvl w:ilvl="1">
      <w:lvlJc w:val="left"/>
      <w:lvlText w:val="%2"/>
      <w:numFmt w:val="lowerLetter"/>
      <w:start w:val="1"/>
    </w:lvl>
  </w:abstractNum>
  <w:abstractNum w:abstractNumId="22">
    <w:nsid w:val="1E7FF521"/>
    <w:multiLevelType w:val="hybridMultilevel"/>
    <w:lvl w:ilvl="0">
      <w:lvlJc w:val="left"/>
      <w:lvlText w:val="(%1)"/>
      <w:numFmt w:val="lowerRoman"/>
      <w:start w:val="9"/>
    </w:lvl>
    <w:lvl w:ilvl="1">
      <w:lvlJc w:val="left"/>
      <w:lvlText w:val="%2"/>
      <w:numFmt w:val="lowerLetter"/>
      <w:start w:val="1"/>
    </w:lvl>
  </w:abstractNum>
  <w:abstractNum w:abstractNumId="23">
    <w:nsid w:val="7C3DBD3D"/>
    <w:multiLevelType w:val="hybridMultilevel"/>
    <w:lvl w:ilvl="0">
      <w:lvlJc w:val="left"/>
      <w:lvlText w:val="(%1)"/>
      <w:numFmt w:val="lowerLetter"/>
      <w:start w:val="16"/>
    </w:lvl>
  </w:abstractNum>
  <w:abstractNum w:abstractNumId="24">
    <w:nsid w:val="737B8DDC"/>
    <w:multiLevelType w:val="hybridMultilevel"/>
    <w:lvl w:ilvl="0">
      <w:lvlJc w:val="left"/>
      <w:lvlText w:val="(%1)"/>
      <w:numFmt w:val="lowerLetter"/>
      <w:start w:val="19"/>
    </w:lvl>
  </w:abstractNum>
  <w:abstractNum w:abstractNumId="25">
    <w:nsid w:val="6CEAF087"/>
    <w:multiLevelType w:val="hybridMultilevel"/>
    <w:lvl w:ilvl="0">
      <w:lvlJc w:val="left"/>
      <w:lvlText w:val="(%1)"/>
      <w:numFmt w:val="lowerRoman"/>
      <w:start w:val="4"/>
    </w:lvl>
  </w:abstractNum>
  <w:abstractNum w:abstractNumId="26">
    <w:nsid w:val="22221A70"/>
    <w:multiLevelType w:val="hybridMultilevel"/>
    <w:lvl w:ilvl="0">
      <w:lvlJc w:val="left"/>
      <w:lvlText w:val="(%1)"/>
      <w:numFmt w:val="lowerRoman"/>
      <w:start w:val="8"/>
    </w:lvl>
  </w:abstractNum>
  <w:abstractNum w:abstractNumId="27">
    <w:nsid w:val="4516DDE9"/>
    <w:multiLevelType w:val="hybridMultilevel"/>
    <w:lvl w:ilvl="0">
      <w:lvlJc w:val="left"/>
      <w:lvlText w:val="(%1)"/>
      <w:numFmt w:val="lowerLetter"/>
      <w:start w:val="1"/>
    </w:lvl>
    <w:lvl w:ilvl="1">
      <w:lvlJc w:val="left"/>
      <w:lvlText w:val="(%2)"/>
      <w:numFmt w:val="lowerLetter"/>
      <w:start w:val="9"/>
    </w:lvl>
  </w:abstractNum>
  <w:abstractNum w:abstractNumId="28">
    <w:nsid w:val="3006C83E"/>
    <w:multiLevelType w:val="hybridMultilevel"/>
    <w:lvl w:ilvl="0">
      <w:lvlJc w:val="left"/>
      <w:lvlText w:val="%1"/>
      <w:numFmt w:val="lowerLetter"/>
      <w:start w:val="1"/>
    </w:lvl>
    <w:lvl w:ilvl="1">
      <w:lvlJc w:val="left"/>
      <w:lvlText w:val="(%2)"/>
      <w:numFmt w:val="lowerRoman"/>
      <w:start w:val="2"/>
    </w:lvl>
  </w:abstractNum>
  <w:abstractNum w:abstractNumId="29">
    <w:nsid w:val="614FD4A1"/>
    <w:multiLevelType w:val="hybridMultilevel"/>
    <w:lvl w:ilvl="0">
      <w:lvlJc w:val="left"/>
      <w:lvlText w:val="(%1)"/>
      <w:numFmt w:val="lowerLetter"/>
      <w:start w:val="3"/>
    </w:lvl>
    <w:lvl w:ilvl="1">
      <w:lvlJc w:val="left"/>
      <w:lvlText w:val="(%2)"/>
      <w:numFmt w:val="lowerRoman"/>
      <w:start w:val="1"/>
    </w:lvl>
  </w:abstractNum>
  <w:abstractNum w:abstractNumId="30">
    <w:nsid w:val="419AC241"/>
    <w:multiLevelType w:val="hybridMultilevel"/>
    <w:lvl w:ilvl="0">
      <w:lvlJc w:val="left"/>
      <w:lvlText w:val="(%1)"/>
      <w:numFmt w:val="lowerLetter"/>
      <w:start w:val="8"/>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35"/>
    </w:lvl>
    <w:lvl w:ilvl="1">
      <w:lvlJc w:val="left"/>
      <w:lvlText w:val="(%2)"/>
      <w:numFmt w:val="lowerLetter"/>
      <w:start w:val="3"/>
    </w:lvl>
  </w:abstractNum>
  <w:abstractNum w:abstractNumId="33">
    <w:nsid w:val="5072367"/>
    <w:multiLevelType w:val="hybridMultilevel"/>
    <w:lvl w:ilvl="0">
      <w:lvlJc w:val="left"/>
      <w:lvlText w:val="(%1)"/>
      <w:numFmt w:val="lowerLetter"/>
      <w:start w:val="4"/>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1)"/>
      <w:numFmt w:val="decimal"/>
      <w:start w:val="87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2020-02-13T16:21:43Z</dcterms:created>
  <dcterms:modified xsi:type="dcterms:W3CDTF">2020-02-13T16:21:43Z</dcterms:modified>
</cp:coreProperties>
</file>